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9C" w:rsidRDefault="00DF649C" w:rsidP="00DF649C">
      <w:pPr>
        <w:pStyle w:val="a0"/>
      </w:pPr>
      <w:r>
        <w:t>ΣΧΕΔΙΟ ΝΟΜΟΥ</w:t>
      </w:r>
    </w:p>
    <w:p w:rsidR="00DF649C" w:rsidRDefault="00C40A56" w:rsidP="00DF649C">
      <w:pPr>
        <w:pStyle w:val="a0"/>
      </w:pPr>
      <w:r>
        <w:t>«</w:t>
      </w:r>
      <w:bookmarkStart w:id="0" w:name="_GoBack"/>
      <w:r w:rsidR="00570FBE">
        <w:t>ΡΥΘΜΙΣΕΙΣ ΓΙΑ ΤΗΝ ΕΞΥΓΙΑΝΣΗ</w:t>
      </w:r>
      <w:r w:rsidR="007E02DC" w:rsidRPr="007E02DC">
        <w:t xml:space="preserve"> ΤΟΥ ΕΙΔΙΚΟΥ ΛΟΓΑΡΙΑΣΜΟΥ ΤΟΥ ΑΡΘΡΟΥ 40 Ν. 2773/1999</w:t>
      </w:r>
      <w:bookmarkEnd w:id="0"/>
      <w:r>
        <w:t>»</w:t>
      </w:r>
    </w:p>
    <w:p w:rsidR="00DF649C" w:rsidRPr="00DF649C" w:rsidRDefault="00DF649C" w:rsidP="00DF649C"/>
    <w:p w:rsidR="00A55B63" w:rsidRPr="007B5F38" w:rsidRDefault="00A55B63" w:rsidP="00F14843">
      <w:pPr>
        <w:pStyle w:val="a0"/>
      </w:pPr>
      <w:r w:rsidRPr="007B5F38">
        <w:t>ΚΕΦΑΛΑΙΟ Α</w:t>
      </w:r>
    </w:p>
    <w:p w:rsidR="00A55B63" w:rsidRPr="007B5F38" w:rsidRDefault="00FF2AB3" w:rsidP="00F14843">
      <w:pPr>
        <w:pStyle w:val="a0"/>
        <w:rPr>
          <w:rFonts w:cs="Times New Roman"/>
        </w:rPr>
      </w:pPr>
      <w:r w:rsidRPr="00FF2AB3">
        <w:t xml:space="preserve">ΑΝΑΠΡΟΣΑΡΜΟΓΗ ΤΙΜΩΝ ΑΠΟΖΗΜΙΩΣΗΣ ΕΝΕΡΓΕΙΑΣ ΑΠΟ ΣΤΑΘΜΟΥΣ ΑΠΕ ΚΑΙ </w:t>
      </w:r>
      <w:proofErr w:type="spellStart"/>
      <w:r w:rsidRPr="00FF2AB3">
        <w:t>ΣΗΘΥΑ</w:t>
      </w:r>
      <w:proofErr w:type="spellEnd"/>
    </w:p>
    <w:p w:rsidR="00FF2AB3" w:rsidRDefault="00FF2AB3" w:rsidP="00FF2AB3">
      <w:pPr>
        <w:pStyle w:val="1"/>
      </w:pPr>
      <w:r>
        <w:t>Άρθρο 1</w:t>
      </w:r>
    </w:p>
    <w:p w:rsidR="00FF2AB3" w:rsidRDefault="00FF2AB3" w:rsidP="00FF2AB3">
      <w:pPr>
        <w:pStyle w:val="1"/>
      </w:pPr>
      <w:r>
        <w:t xml:space="preserve">Επανακαθορισμός στοιχείων τιμολόγησης ηλεκτρικής ενέργειας λειτουργούντων σταθμών ΑΠΕ και </w:t>
      </w:r>
      <w:proofErr w:type="spellStart"/>
      <w:r>
        <w:t>ΣΗΘΥΑ</w:t>
      </w:r>
      <w:proofErr w:type="spellEnd"/>
    </w:p>
    <w:p w:rsidR="00FF2AB3" w:rsidRDefault="00FF2AB3" w:rsidP="00FF2AB3">
      <w:r>
        <w:t xml:space="preserve">1. Τα στοιχεία και οι τιμές αναφοράς του πίνακα της </w:t>
      </w:r>
      <w:proofErr w:type="spellStart"/>
      <w:r>
        <w:t>περ</w:t>
      </w:r>
      <w:proofErr w:type="spellEnd"/>
      <w:r>
        <w:t xml:space="preserve">. </w:t>
      </w:r>
      <w:proofErr w:type="spellStart"/>
      <w:r>
        <w:t>β΄</w:t>
      </w:r>
      <w:proofErr w:type="spellEnd"/>
      <w:r>
        <w:t xml:space="preserve"> της παραγράφου 1 του άρθρου 13 ν. 3468/2006 (</w:t>
      </w:r>
      <w:proofErr w:type="spellStart"/>
      <w:r>
        <w:t>Α΄</w:t>
      </w:r>
      <w:proofErr w:type="spellEnd"/>
      <w:r>
        <w:t xml:space="preserve"> 129), όπως ισχύει, και του πίνακα της παραγράφου 3 του άρθρου 27Α ν. 3734/2009 (</w:t>
      </w:r>
      <w:proofErr w:type="spellStart"/>
      <w:r>
        <w:t>Α΄</w:t>
      </w:r>
      <w:proofErr w:type="spellEnd"/>
      <w:r>
        <w:t xml:space="preserve"> 8), όπως ισχύει, καθώς και των τιμών αναφοράς του «ειδικού προγράμματος ανάπτυξης </w:t>
      </w:r>
      <w:proofErr w:type="spellStart"/>
      <w:r>
        <w:t>φωτοβολταϊκών</w:t>
      </w:r>
      <w:proofErr w:type="spellEnd"/>
      <w:r>
        <w:t xml:space="preserve"> στα κτίρια», όπως αυτές οι τιμές έχουν αναπροσαρμοστεί και εφαρμόζονται για την εκτέλεση των συμβάσεων πώλησης κατά την έναρξη ισχύος του παρόντος, επανακαθορίζονται, από την έναρξη ισχύος του παρόντος, για τους σταθμούς ΑΠΕ και </w:t>
      </w:r>
      <w:proofErr w:type="spellStart"/>
      <w:r>
        <w:t>ΣΗΘΥΑ</w:t>
      </w:r>
      <w:proofErr w:type="spellEnd"/>
      <w:r>
        <w:t xml:space="preserve"> που την ημερομηνία αυτή βρίσκονται σε κανονική ή δοκιμαστική λειτουργία ή, εάν δεν προβλέπεται περίοδος δοκιμαστικής λειτουργίας, έχει ενεργοποιηθεί η σύνδεσή τους, σύμφωνα με τις ακόλουθες περιπτώσεις.   </w:t>
      </w:r>
    </w:p>
    <w:p w:rsidR="00FF2AB3" w:rsidRPr="005C56DC" w:rsidRDefault="00FF2AB3" w:rsidP="00FF2AB3">
      <w:pPr>
        <w:tabs>
          <w:tab w:val="left" w:pos="1911"/>
        </w:tabs>
        <w:spacing w:after="120" w:line="240" w:lineRule="auto"/>
      </w:pPr>
      <w:r w:rsidRPr="00A06551">
        <w:t>α. Τιμολόγηση (€/</w:t>
      </w:r>
      <w:proofErr w:type="spellStart"/>
      <w:r w:rsidRPr="00A06551">
        <w:rPr>
          <w:lang w:val="en-US"/>
        </w:rPr>
        <w:t>MWh</w:t>
      </w:r>
      <w:proofErr w:type="spellEnd"/>
      <w:r w:rsidRPr="00A06551">
        <w:t xml:space="preserve">) ηλεκτρικής ενέργειας από </w:t>
      </w:r>
      <w:proofErr w:type="spellStart"/>
      <w:r w:rsidRPr="00A06551">
        <w:t>φωτοβολταϊκούς</w:t>
      </w:r>
      <w:proofErr w:type="spellEnd"/>
      <w:r w:rsidRPr="00A06551">
        <w:t xml:space="preserve"> σταθμούς</w:t>
      </w:r>
      <w:r w:rsidRPr="00974971">
        <w:t>.</w:t>
      </w:r>
    </w:p>
    <w:tbl>
      <w:tblPr>
        <w:tblW w:w="5500" w:type="pct"/>
        <w:tblInd w:w="-502" w:type="dxa"/>
        <w:tblLayout w:type="fixed"/>
        <w:tblLook w:val="04A0" w:firstRow="1" w:lastRow="0" w:firstColumn="1" w:lastColumn="0" w:noHBand="0" w:noVBand="1"/>
      </w:tblPr>
      <w:tblGrid>
        <w:gridCol w:w="910"/>
        <w:gridCol w:w="557"/>
        <w:gridCol w:w="523"/>
        <w:gridCol w:w="523"/>
        <w:gridCol w:w="523"/>
        <w:gridCol w:w="523"/>
        <w:gridCol w:w="523"/>
        <w:gridCol w:w="523"/>
        <w:gridCol w:w="523"/>
        <w:gridCol w:w="523"/>
        <w:gridCol w:w="523"/>
        <w:gridCol w:w="523"/>
        <w:gridCol w:w="544"/>
        <w:gridCol w:w="616"/>
        <w:gridCol w:w="544"/>
        <w:gridCol w:w="616"/>
      </w:tblGrid>
      <w:tr w:rsidR="00FF2AB3" w:rsidRPr="00FC1786" w:rsidTr="00FC1786">
        <w:trPr>
          <w:trHeight w:val="315"/>
        </w:trPr>
        <w:tc>
          <w:tcPr>
            <w:tcW w:w="9902" w:type="dxa"/>
            <w:gridSpan w:val="1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ΦΩΤΟΒΟΛΤΑΪΚΟΙ</w:t>
            </w:r>
            <w:proofErr w:type="spellEnd"/>
            <w:r w:rsidRPr="00FC1786">
              <w:rPr>
                <w:rFonts w:eastAsia="Times New Roman"/>
                <w:color w:val="000000"/>
                <w:sz w:val="18"/>
                <w:szCs w:val="18"/>
                <w:lang w:eastAsia="el-GR"/>
              </w:rPr>
              <w:t xml:space="preserve"> ΣΤΑΘΜΟΙ</w:t>
            </w:r>
          </w:p>
        </w:tc>
      </w:tr>
      <w:tr w:rsidR="00FF2AB3" w:rsidRPr="00FC1786" w:rsidTr="00FC1786">
        <w:trPr>
          <w:trHeight w:val="315"/>
        </w:trPr>
        <w:tc>
          <w:tcPr>
            <w:tcW w:w="16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w:t>
            </w:r>
          </w:p>
        </w:tc>
        <w:tc>
          <w:tcPr>
            <w:tcW w:w="5715" w:type="dxa"/>
            <w:gridSpan w:val="10"/>
            <w:tcBorders>
              <w:top w:val="nil"/>
              <w:left w:val="nil"/>
              <w:bottom w:val="single" w:sz="8" w:space="0" w:color="auto"/>
              <w:right w:val="nil"/>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ΔΙΑΣΥΝΔΕΔΕΜΕΝΟ ΣΥΣΤΗΜΑ</w:t>
            </w:r>
          </w:p>
        </w:tc>
        <w:tc>
          <w:tcPr>
            <w:tcW w:w="2552" w:type="dxa"/>
            <w:gridSpan w:val="4"/>
            <w:tcBorders>
              <w:top w:val="nil"/>
              <w:left w:val="double" w:sz="6" w:space="0" w:color="auto"/>
              <w:bottom w:val="single" w:sz="8" w:space="0" w:color="auto"/>
              <w:right w:val="single" w:sz="8" w:space="0" w:color="000000"/>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ΜΗ ΔΙΑΣΥΝΔΕΔΕΜΕΝΟ ΣΥΣΤΗΜΑ</w:t>
            </w:r>
          </w:p>
        </w:tc>
      </w:tr>
      <w:tr w:rsidR="00FF2AB3" w:rsidRPr="00FC1786" w:rsidTr="00FC1786">
        <w:trPr>
          <w:trHeight w:val="900"/>
        </w:trPr>
        <w:tc>
          <w:tcPr>
            <w:tcW w:w="102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F2AB3" w:rsidRPr="00FC1786" w:rsidRDefault="00FF2AB3" w:rsidP="0061721C">
            <w:pPr>
              <w:spacing w:before="40" w:after="40" w:line="240" w:lineRule="auto"/>
              <w:ind w:left="113" w:right="113"/>
              <w:jc w:val="center"/>
              <w:rPr>
                <w:rFonts w:eastAsia="Times New Roman"/>
                <w:color w:val="000000"/>
                <w:sz w:val="18"/>
                <w:szCs w:val="18"/>
                <w:lang w:eastAsia="el-GR"/>
              </w:rPr>
            </w:pPr>
            <w:r w:rsidRPr="00FC1786">
              <w:rPr>
                <w:rFonts w:eastAsia="Times New Roman"/>
                <w:color w:val="000000"/>
                <w:sz w:val="18"/>
                <w:szCs w:val="18"/>
                <w:lang w:eastAsia="el-GR"/>
              </w:rPr>
              <w:t>Περίοδος Διασύνδεσης</w:t>
            </w:r>
          </w:p>
        </w:tc>
        <w:tc>
          <w:tcPr>
            <w:tcW w:w="611" w:type="dxa"/>
            <w:vMerge w:val="restart"/>
            <w:tcBorders>
              <w:top w:val="nil"/>
              <w:left w:val="nil"/>
              <w:right w:val="single" w:sz="8" w:space="0" w:color="auto"/>
            </w:tcBorders>
            <w:shd w:val="clear" w:color="auto" w:fill="auto"/>
            <w:textDirection w:val="btLr"/>
            <w:vAlign w:val="center"/>
            <w:hideMark/>
          </w:tcPr>
          <w:p w:rsidR="00FF2AB3" w:rsidRPr="00FC1786" w:rsidRDefault="00FF2AB3" w:rsidP="0061721C">
            <w:pPr>
              <w:spacing w:before="40" w:after="40" w:line="240" w:lineRule="auto"/>
              <w:ind w:left="113" w:right="113"/>
              <w:jc w:val="center"/>
              <w:rPr>
                <w:rFonts w:eastAsia="Times New Roman"/>
                <w:color w:val="000000"/>
                <w:sz w:val="18"/>
                <w:szCs w:val="18"/>
                <w:lang w:val="en-US" w:eastAsia="el-GR"/>
              </w:rPr>
            </w:pPr>
            <w:r w:rsidRPr="00FC1786">
              <w:rPr>
                <w:rFonts w:eastAsia="Times New Roman"/>
                <w:color w:val="000000"/>
                <w:sz w:val="18"/>
                <w:szCs w:val="18"/>
                <w:lang w:eastAsia="el-GR"/>
              </w:rPr>
              <w:t>Φ/Β Στεγών (&lt;=10kW)</w:t>
            </w:r>
          </w:p>
        </w:tc>
        <w:tc>
          <w:tcPr>
            <w:tcW w:w="1143"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ΦΒ έως </w:t>
            </w:r>
            <w:proofErr w:type="spellStart"/>
            <w:r w:rsidRPr="00FC1786">
              <w:rPr>
                <w:rFonts w:eastAsia="Times New Roman"/>
                <w:color w:val="000000"/>
                <w:sz w:val="18"/>
                <w:szCs w:val="18"/>
                <w:lang w:eastAsia="el-GR"/>
              </w:rPr>
              <w:t>100kW</w:t>
            </w:r>
            <w:proofErr w:type="spellEnd"/>
          </w:p>
        </w:tc>
        <w:tc>
          <w:tcPr>
            <w:tcW w:w="1143"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100 </w:t>
            </w:r>
            <w:proofErr w:type="spellStart"/>
            <w:r w:rsidRPr="00FC1786">
              <w:rPr>
                <w:rFonts w:eastAsia="Times New Roman"/>
                <w:color w:val="000000"/>
                <w:sz w:val="18"/>
                <w:szCs w:val="18"/>
                <w:lang w:eastAsia="el-GR"/>
              </w:rPr>
              <w:t>kW&lt;P&lt;=500kW</w:t>
            </w:r>
            <w:proofErr w:type="spellEnd"/>
          </w:p>
        </w:tc>
        <w:tc>
          <w:tcPr>
            <w:tcW w:w="1143"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500 </w:t>
            </w:r>
            <w:proofErr w:type="spellStart"/>
            <w:r w:rsidRPr="00FC1786">
              <w:rPr>
                <w:rFonts w:eastAsia="Times New Roman"/>
                <w:color w:val="000000"/>
                <w:sz w:val="18"/>
                <w:szCs w:val="18"/>
                <w:lang w:eastAsia="el-GR"/>
              </w:rPr>
              <w:t>kW&lt;P&lt;=1MW</w:t>
            </w:r>
            <w:proofErr w:type="spellEnd"/>
          </w:p>
        </w:tc>
        <w:tc>
          <w:tcPr>
            <w:tcW w:w="1143"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1 </w:t>
            </w:r>
            <w:proofErr w:type="spellStart"/>
            <w:r w:rsidRPr="00FC1786">
              <w:rPr>
                <w:rFonts w:eastAsia="Times New Roman"/>
                <w:color w:val="000000"/>
                <w:sz w:val="18"/>
                <w:szCs w:val="18"/>
                <w:lang w:eastAsia="el-GR"/>
              </w:rPr>
              <w:t>MW&lt;P&lt;=5MW</w:t>
            </w:r>
            <w:proofErr w:type="spellEnd"/>
          </w:p>
        </w:tc>
        <w:tc>
          <w:tcPr>
            <w:tcW w:w="1143" w:type="dxa"/>
            <w:gridSpan w:val="2"/>
            <w:tcBorders>
              <w:top w:val="single" w:sz="8" w:space="0" w:color="auto"/>
              <w:left w:val="nil"/>
              <w:bottom w:val="single" w:sz="4" w:space="0" w:color="auto"/>
              <w:right w:val="single" w:sz="4" w:space="0" w:color="auto"/>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P&gt;5MW</w:t>
            </w:r>
            <w:proofErr w:type="spellEnd"/>
          </w:p>
        </w:tc>
        <w:tc>
          <w:tcPr>
            <w:tcW w:w="1276" w:type="dxa"/>
            <w:gridSpan w:val="2"/>
            <w:tcBorders>
              <w:top w:val="single" w:sz="8" w:space="0" w:color="auto"/>
              <w:left w:val="double" w:sz="6" w:space="0" w:color="auto"/>
              <w:bottom w:val="single" w:sz="4" w:space="0" w:color="auto"/>
              <w:right w:val="single" w:sz="8" w:space="0" w:color="000000"/>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ΦΒ έως </w:t>
            </w:r>
            <w:proofErr w:type="spellStart"/>
            <w:r w:rsidRPr="00FC1786">
              <w:rPr>
                <w:rFonts w:eastAsia="Times New Roman"/>
                <w:color w:val="000000"/>
                <w:sz w:val="18"/>
                <w:szCs w:val="18"/>
                <w:lang w:eastAsia="el-GR"/>
              </w:rPr>
              <w:t>100kW</w:t>
            </w:r>
            <w:proofErr w:type="spellEnd"/>
          </w:p>
        </w:tc>
        <w:tc>
          <w:tcPr>
            <w:tcW w:w="1276"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61721C">
            <w:pPr>
              <w:spacing w:before="40" w:after="40"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100 </w:t>
            </w:r>
            <w:proofErr w:type="spellStart"/>
            <w:r w:rsidRPr="00FC1786">
              <w:rPr>
                <w:rFonts w:eastAsia="Times New Roman"/>
                <w:color w:val="000000"/>
                <w:sz w:val="18"/>
                <w:szCs w:val="18"/>
                <w:lang w:eastAsia="el-GR"/>
              </w:rPr>
              <w:t>kW&lt;P&lt;=500kW</w:t>
            </w:r>
            <w:proofErr w:type="spellEnd"/>
          </w:p>
        </w:tc>
      </w:tr>
      <w:tr w:rsidR="0061721C" w:rsidRPr="00FC1786" w:rsidTr="00FC1786">
        <w:trPr>
          <w:trHeight w:val="315"/>
        </w:trPr>
        <w:tc>
          <w:tcPr>
            <w:tcW w:w="1024" w:type="dxa"/>
            <w:vMerge/>
            <w:tcBorders>
              <w:top w:val="nil"/>
              <w:left w:val="single" w:sz="8" w:space="0" w:color="auto"/>
              <w:bottom w:val="single" w:sz="8" w:space="0" w:color="000000"/>
              <w:right w:val="single" w:sz="8" w:space="0" w:color="auto"/>
            </w:tcBorders>
            <w:vAlign w:val="center"/>
            <w:hideMark/>
          </w:tcPr>
          <w:p w:rsidR="00FF2AB3" w:rsidRPr="00FC1786" w:rsidRDefault="00FF2AB3" w:rsidP="0061721C">
            <w:pPr>
              <w:spacing w:before="40" w:after="40" w:line="240" w:lineRule="auto"/>
              <w:rPr>
                <w:rFonts w:eastAsia="Times New Roman"/>
                <w:color w:val="000000"/>
                <w:sz w:val="18"/>
                <w:szCs w:val="18"/>
                <w:lang w:eastAsia="el-GR"/>
              </w:rPr>
            </w:pPr>
          </w:p>
        </w:tc>
        <w:tc>
          <w:tcPr>
            <w:tcW w:w="611" w:type="dxa"/>
            <w:vMerge/>
            <w:tcBorders>
              <w:left w:val="nil"/>
              <w:bottom w:val="nil"/>
              <w:right w:val="single" w:sz="8" w:space="0" w:color="auto"/>
            </w:tcBorders>
            <w:shd w:val="clear" w:color="auto" w:fill="auto"/>
            <w:noWrap/>
            <w:vAlign w:val="bottom"/>
            <w:hideMark/>
          </w:tcPr>
          <w:p w:rsidR="00FF2AB3" w:rsidRPr="00FC1786" w:rsidRDefault="00FF2AB3" w:rsidP="0061721C">
            <w:pPr>
              <w:spacing w:before="40" w:after="40" w:line="240" w:lineRule="auto"/>
              <w:rPr>
                <w:rFonts w:eastAsia="Times New Roman"/>
                <w:color w:val="000000"/>
                <w:sz w:val="18"/>
                <w:szCs w:val="18"/>
                <w:highlight w:val="yellow"/>
                <w:lang w:eastAsia="el-GR"/>
              </w:rPr>
            </w:pPr>
          </w:p>
        </w:tc>
        <w:tc>
          <w:tcPr>
            <w:tcW w:w="571" w:type="dxa"/>
            <w:tcBorders>
              <w:top w:val="nil"/>
              <w:left w:val="nil"/>
              <w:bottom w:val="single" w:sz="8" w:space="0" w:color="auto"/>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572"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571" w:type="dxa"/>
            <w:tcBorders>
              <w:top w:val="nil"/>
              <w:left w:val="nil"/>
              <w:bottom w:val="single" w:sz="8" w:space="0" w:color="auto"/>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572"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571" w:type="dxa"/>
            <w:tcBorders>
              <w:top w:val="nil"/>
              <w:left w:val="nil"/>
              <w:bottom w:val="single" w:sz="8" w:space="0" w:color="auto"/>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572"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571" w:type="dxa"/>
            <w:tcBorders>
              <w:top w:val="nil"/>
              <w:left w:val="nil"/>
              <w:bottom w:val="nil"/>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572" w:type="dxa"/>
            <w:tcBorders>
              <w:top w:val="nil"/>
              <w:left w:val="nil"/>
              <w:bottom w:val="nil"/>
              <w:right w:val="single" w:sz="8"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571" w:type="dxa"/>
            <w:tcBorders>
              <w:top w:val="nil"/>
              <w:left w:val="nil"/>
              <w:bottom w:val="nil"/>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572" w:type="dxa"/>
            <w:tcBorders>
              <w:top w:val="nil"/>
              <w:left w:val="nil"/>
              <w:bottom w:val="single" w:sz="8" w:space="0" w:color="auto"/>
              <w:right w:val="doub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ME</w:t>
            </w:r>
          </w:p>
        </w:tc>
        <w:tc>
          <w:tcPr>
            <w:tcW w:w="596" w:type="dxa"/>
            <w:tcBorders>
              <w:top w:val="nil"/>
              <w:left w:val="double" w:sz="4" w:space="0" w:color="auto"/>
              <w:bottom w:val="nil"/>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680" w:type="dxa"/>
            <w:tcBorders>
              <w:top w:val="nil"/>
              <w:left w:val="nil"/>
              <w:bottom w:val="nil"/>
              <w:right w:val="single" w:sz="8"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596" w:type="dxa"/>
            <w:tcBorders>
              <w:top w:val="nil"/>
              <w:left w:val="nil"/>
              <w:bottom w:val="nil"/>
              <w:right w:val="single" w:sz="4"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680" w:type="dxa"/>
            <w:tcBorders>
              <w:top w:val="nil"/>
              <w:left w:val="nil"/>
              <w:bottom w:val="nil"/>
              <w:right w:val="single" w:sz="8" w:space="0" w:color="auto"/>
            </w:tcBorders>
            <w:shd w:val="clear" w:color="auto" w:fill="auto"/>
            <w:noWrap/>
            <w:vAlign w:val="bottom"/>
            <w:hideMark/>
          </w:tcPr>
          <w:p w:rsidR="00FF2AB3" w:rsidRPr="00FC1786" w:rsidRDefault="00FF2AB3" w:rsidP="0061721C">
            <w:pPr>
              <w:spacing w:before="40" w:after="40"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r>
      <w:tr w:rsidR="0061721C" w:rsidRPr="00FC1786" w:rsidTr="0061721C">
        <w:trPr>
          <w:trHeight w:val="315"/>
        </w:trPr>
        <w:tc>
          <w:tcPr>
            <w:tcW w:w="1024" w:type="dxa"/>
            <w:tcBorders>
              <w:top w:val="nil"/>
              <w:left w:val="single" w:sz="8" w:space="0" w:color="auto"/>
              <w:bottom w:val="single" w:sz="8" w:space="0" w:color="auto"/>
              <w:right w:val="nil"/>
            </w:tcBorders>
            <w:shd w:val="clear" w:color="000000" w:fill="FFFFFF"/>
            <w:noWrap/>
            <w:vAlign w:val="bottom"/>
            <w:hideMark/>
          </w:tcPr>
          <w:p w:rsidR="00FF2AB3" w:rsidRPr="00FC1786" w:rsidRDefault="00FF2AB3" w:rsidP="0061721C">
            <w:pPr>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Πριν το 2009</w:t>
            </w:r>
          </w:p>
        </w:tc>
        <w:tc>
          <w:tcPr>
            <w:tcW w:w="6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550</w:t>
            </w:r>
          </w:p>
        </w:tc>
        <w:tc>
          <w:tcPr>
            <w:tcW w:w="571" w:type="dxa"/>
            <w:tcBorders>
              <w:top w:val="single" w:sz="8" w:space="0" w:color="auto"/>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440</w:t>
            </w:r>
          </w:p>
        </w:tc>
        <w:tc>
          <w:tcPr>
            <w:tcW w:w="571"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571" w:type="dxa"/>
            <w:tcBorders>
              <w:top w:val="single" w:sz="8" w:space="0" w:color="auto"/>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385</w:t>
            </w:r>
          </w:p>
        </w:tc>
        <w:tc>
          <w:tcPr>
            <w:tcW w:w="571" w:type="dxa"/>
            <w:tcBorders>
              <w:top w:val="single" w:sz="8" w:space="0" w:color="auto"/>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385</w:t>
            </w:r>
          </w:p>
        </w:tc>
        <w:tc>
          <w:tcPr>
            <w:tcW w:w="571" w:type="dxa"/>
            <w:tcBorders>
              <w:top w:val="single" w:sz="8" w:space="0" w:color="auto"/>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single" w:sz="8" w:space="0" w:color="auto"/>
              <w:left w:val="nil"/>
              <w:bottom w:val="single" w:sz="8"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385</w:t>
            </w:r>
          </w:p>
        </w:tc>
        <w:tc>
          <w:tcPr>
            <w:tcW w:w="596" w:type="dxa"/>
            <w:tcBorders>
              <w:top w:val="single" w:sz="8" w:space="0" w:color="auto"/>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505</w:t>
            </w:r>
          </w:p>
        </w:tc>
        <w:tc>
          <w:tcPr>
            <w:tcW w:w="680" w:type="dxa"/>
            <w:tcBorders>
              <w:top w:val="single" w:sz="8" w:space="0" w:color="auto"/>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480</w:t>
            </w:r>
          </w:p>
        </w:tc>
        <w:tc>
          <w:tcPr>
            <w:tcW w:w="596" w:type="dxa"/>
            <w:tcBorders>
              <w:top w:val="single" w:sz="8" w:space="0" w:color="auto"/>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457</w:t>
            </w:r>
          </w:p>
        </w:tc>
        <w:tc>
          <w:tcPr>
            <w:tcW w:w="680" w:type="dxa"/>
            <w:tcBorders>
              <w:top w:val="single" w:sz="8" w:space="0" w:color="auto"/>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Α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2009</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540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430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505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480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457</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B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2009</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540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495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457</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Γ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2009</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540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400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400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400</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480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420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320</w:t>
            </w:r>
          </w:p>
        </w:tc>
      </w:tr>
      <w:tr w:rsidR="0061721C" w:rsidRPr="00FC1786" w:rsidTr="0061721C">
        <w:trPr>
          <w:trHeight w:val="315"/>
        </w:trPr>
        <w:tc>
          <w:tcPr>
            <w:tcW w:w="1024" w:type="dxa"/>
            <w:tcBorders>
              <w:top w:val="nil"/>
              <w:left w:val="single" w:sz="8" w:space="0" w:color="auto"/>
              <w:bottom w:val="single" w:sz="8" w:space="0" w:color="auto"/>
              <w:right w:val="nil"/>
            </w:tcBorders>
            <w:shd w:val="clear" w:color="000000" w:fill="FFFFFF"/>
            <w:noWrap/>
            <w:vAlign w:val="bottom"/>
            <w:hideMark/>
          </w:tcPr>
          <w:p w:rsidR="00FF2AB3" w:rsidRPr="00FC1786" w:rsidRDefault="00FF2AB3" w:rsidP="0061721C">
            <w:pPr>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Δ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2009</w:t>
            </w:r>
          </w:p>
        </w:tc>
        <w:tc>
          <w:tcPr>
            <w:tcW w:w="611" w:type="dxa"/>
            <w:tcBorders>
              <w:top w:val="nil"/>
              <w:left w:val="single" w:sz="8" w:space="0" w:color="auto"/>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540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350</w:t>
            </w:r>
          </w:p>
        </w:tc>
        <w:tc>
          <w:tcPr>
            <w:tcW w:w="571" w:type="dxa"/>
            <w:tcBorders>
              <w:top w:val="nil"/>
              <w:left w:val="nil"/>
              <w:bottom w:val="single" w:sz="8"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572" w:type="dxa"/>
            <w:tcBorders>
              <w:top w:val="nil"/>
              <w:left w:val="nil"/>
              <w:bottom w:val="single" w:sz="8"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572" w:type="dxa"/>
            <w:tcBorders>
              <w:top w:val="nil"/>
              <w:left w:val="nil"/>
              <w:bottom w:val="single" w:sz="8"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96" w:type="dxa"/>
            <w:tcBorders>
              <w:top w:val="nil"/>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460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400</w:t>
            </w:r>
          </w:p>
        </w:tc>
        <w:tc>
          <w:tcPr>
            <w:tcW w:w="596"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305</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Α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2010</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535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440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370</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440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tabs>
                <w:tab w:val="center" w:pos="4153"/>
                <w:tab w:val="right" w:pos="8306"/>
              </w:tabs>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Β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2010</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535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420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270</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420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285</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Γ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2010</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535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370</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r>
      <w:tr w:rsidR="0061721C" w:rsidRPr="00FC1786" w:rsidTr="0061721C">
        <w:trPr>
          <w:trHeight w:val="315"/>
        </w:trPr>
        <w:tc>
          <w:tcPr>
            <w:tcW w:w="1024" w:type="dxa"/>
            <w:tcBorders>
              <w:top w:val="nil"/>
              <w:left w:val="single" w:sz="8" w:space="0" w:color="auto"/>
              <w:bottom w:val="single" w:sz="8"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Δ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2010</w:t>
            </w:r>
          </w:p>
        </w:tc>
        <w:tc>
          <w:tcPr>
            <w:tcW w:w="611" w:type="dxa"/>
            <w:tcBorders>
              <w:top w:val="nil"/>
              <w:left w:val="single" w:sz="8" w:space="0" w:color="auto"/>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535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310</w:t>
            </w:r>
          </w:p>
        </w:tc>
        <w:tc>
          <w:tcPr>
            <w:tcW w:w="571" w:type="dxa"/>
            <w:tcBorders>
              <w:top w:val="nil"/>
              <w:left w:val="nil"/>
              <w:bottom w:val="single" w:sz="8"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c>
          <w:tcPr>
            <w:tcW w:w="572" w:type="dxa"/>
            <w:tcBorders>
              <w:top w:val="nil"/>
              <w:left w:val="nil"/>
              <w:bottom w:val="single" w:sz="8"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355</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355</w:t>
            </w:r>
          </w:p>
        </w:tc>
        <w:tc>
          <w:tcPr>
            <w:tcW w:w="572" w:type="dxa"/>
            <w:tcBorders>
              <w:top w:val="nil"/>
              <w:left w:val="nil"/>
              <w:bottom w:val="single" w:sz="8"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96" w:type="dxa"/>
            <w:tcBorders>
              <w:top w:val="nil"/>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325</w:t>
            </w:r>
          </w:p>
        </w:tc>
        <w:tc>
          <w:tcPr>
            <w:tcW w:w="596"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Α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2011</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440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400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405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255</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Β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2011</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435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305</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390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Γ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2011</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425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320</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225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305</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330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r>
      <w:tr w:rsidR="0061721C" w:rsidRPr="00FC1786" w:rsidTr="0061721C">
        <w:trPr>
          <w:trHeight w:val="315"/>
        </w:trPr>
        <w:tc>
          <w:tcPr>
            <w:tcW w:w="1024" w:type="dxa"/>
            <w:tcBorders>
              <w:top w:val="nil"/>
              <w:left w:val="single" w:sz="8" w:space="0" w:color="auto"/>
              <w:bottom w:val="single" w:sz="8" w:space="0" w:color="auto"/>
              <w:right w:val="nil"/>
            </w:tcBorders>
            <w:shd w:val="clear" w:color="000000" w:fill="FFFFFF"/>
            <w:noWrap/>
            <w:vAlign w:val="bottom"/>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Δ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2011</w:t>
            </w:r>
          </w:p>
        </w:tc>
        <w:tc>
          <w:tcPr>
            <w:tcW w:w="611" w:type="dxa"/>
            <w:tcBorders>
              <w:top w:val="nil"/>
              <w:left w:val="single" w:sz="8" w:space="0" w:color="auto"/>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415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365</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290</w:t>
            </w:r>
          </w:p>
        </w:tc>
        <w:tc>
          <w:tcPr>
            <w:tcW w:w="571" w:type="dxa"/>
            <w:tcBorders>
              <w:top w:val="nil"/>
              <w:left w:val="nil"/>
              <w:bottom w:val="single" w:sz="8"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2" w:type="dxa"/>
            <w:tcBorders>
              <w:top w:val="nil"/>
              <w:left w:val="nil"/>
              <w:bottom w:val="single" w:sz="8"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220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215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215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295</w:t>
            </w:r>
          </w:p>
        </w:tc>
        <w:tc>
          <w:tcPr>
            <w:tcW w:w="572" w:type="dxa"/>
            <w:tcBorders>
              <w:top w:val="nil"/>
              <w:left w:val="nil"/>
              <w:bottom w:val="single" w:sz="8"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205</w:t>
            </w:r>
          </w:p>
        </w:tc>
        <w:tc>
          <w:tcPr>
            <w:tcW w:w="596" w:type="dxa"/>
            <w:tcBorders>
              <w:top w:val="nil"/>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375</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96"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225</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Α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2012</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385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205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200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200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360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210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Β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2012</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340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280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190</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Γ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2012</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275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245</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320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190</w:t>
            </w:r>
          </w:p>
        </w:tc>
      </w:tr>
      <w:tr w:rsidR="0061721C" w:rsidRPr="00FC1786" w:rsidTr="0061721C">
        <w:trPr>
          <w:trHeight w:val="315"/>
        </w:trPr>
        <w:tc>
          <w:tcPr>
            <w:tcW w:w="1024" w:type="dxa"/>
            <w:tcBorders>
              <w:top w:val="nil"/>
              <w:left w:val="single" w:sz="8" w:space="0" w:color="auto"/>
              <w:bottom w:val="single" w:sz="8" w:space="0" w:color="auto"/>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Δ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2012</w:t>
            </w:r>
          </w:p>
        </w:tc>
        <w:tc>
          <w:tcPr>
            <w:tcW w:w="611" w:type="dxa"/>
            <w:tcBorders>
              <w:top w:val="nil"/>
              <w:left w:val="single" w:sz="8" w:space="0" w:color="auto"/>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305</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1" w:type="dxa"/>
            <w:tcBorders>
              <w:top w:val="nil"/>
              <w:left w:val="nil"/>
              <w:bottom w:val="single" w:sz="8"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265</w:t>
            </w:r>
          </w:p>
        </w:tc>
        <w:tc>
          <w:tcPr>
            <w:tcW w:w="572" w:type="dxa"/>
            <w:tcBorders>
              <w:top w:val="nil"/>
              <w:left w:val="nil"/>
              <w:bottom w:val="single" w:sz="8"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2" w:type="dxa"/>
            <w:tcBorders>
              <w:top w:val="nil"/>
              <w:left w:val="nil"/>
              <w:bottom w:val="single" w:sz="8"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170</w:t>
            </w:r>
          </w:p>
        </w:tc>
        <w:tc>
          <w:tcPr>
            <w:tcW w:w="596" w:type="dxa"/>
            <w:tcBorders>
              <w:top w:val="nil"/>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315</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250</w:t>
            </w:r>
          </w:p>
        </w:tc>
        <w:tc>
          <w:tcPr>
            <w:tcW w:w="596"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250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r>
      <w:tr w:rsidR="0061721C" w:rsidRPr="00FC1786" w:rsidTr="0061721C">
        <w:trPr>
          <w:trHeight w:val="300"/>
        </w:trPr>
        <w:tc>
          <w:tcPr>
            <w:tcW w:w="1024" w:type="dxa"/>
            <w:tcBorders>
              <w:top w:val="nil"/>
              <w:left w:val="single" w:sz="8" w:space="0" w:color="auto"/>
              <w:bottom w:val="single" w:sz="4" w:space="0" w:color="auto"/>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Α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xml:space="preserve">. 2013 </w:t>
            </w:r>
          </w:p>
        </w:tc>
        <w:tc>
          <w:tcPr>
            <w:tcW w:w="611" w:type="dxa"/>
            <w:tcBorders>
              <w:top w:val="nil"/>
              <w:left w:val="single" w:sz="8" w:space="0" w:color="auto"/>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300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1" w:type="dxa"/>
            <w:tcBorders>
              <w:top w:val="nil"/>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245</w:t>
            </w:r>
          </w:p>
        </w:tc>
        <w:tc>
          <w:tcPr>
            <w:tcW w:w="572" w:type="dxa"/>
            <w:tcBorders>
              <w:top w:val="nil"/>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175</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235</w:t>
            </w:r>
          </w:p>
        </w:tc>
        <w:tc>
          <w:tcPr>
            <w:tcW w:w="572"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170</w:t>
            </w:r>
          </w:p>
        </w:tc>
        <w:tc>
          <w:tcPr>
            <w:tcW w:w="571"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72" w:type="dxa"/>
            <w:tcBorders>
              <w:top w:val="nil"/>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165</w:t>
            </w:r>
          </w:p>
        </w:tc>
        <w:tc>
          <w:tcPr>
            <w:tcW w:w="596" w:type="dxa"/>
            <w:tcBorders>
              <w:top w:val="nil"/>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310</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240</w:t>
            </w:r>
          </w:p>
        </w:tc>
        <w:tc>
          <w:tcPr>
            <w:tcW w:w="596"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245</w:t>
            </w:r>
          </w:p>
        </w:tc>
        <w:tc>
          <w:tcPr>
            <w:tcW w:w="68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r>
      <w:tr w:rsidR="0061721C" w:rsidRPr="00FC1786" w:rsidTr="0061721C">
        <w:trPr>
          <w:trHeight w:val="300"/>
        </w:trPr>
        <w:tc>
          <w:tcPr>
            <w:tcW w:w="1024" w:type="dxa"/>
            <w:tcBorders>
              <w:top w:val="nil"/>
              <w:left w:val="single" w:sz="8" w:space="0" w:color="auto"/>
              <w:bottom w:val="nil"/>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Β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2013</w:t>
            </w:r>
          </w:p>
        </w:tc>
        <w:tc>
          <w:tcPr>
            <w:tcW w:w="611" w:type="dxa"/>
            <w:tcBorders>
              <w:top w:val="single" w:sz="4" w:space="0" w:color="auto"/>
              <w:left w:val="single" w:sz="8" w:space="0" w:color="auto"/>
              <w:bottom w:val="nil"/>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220</w:t>
            </w:r>
          </w:p>
        </w:tc>
        <w:tc>
          <w:tcPr>
            <w:tcW w:w="571" w:type="dxa"/>
            <w:tcBorders>
              <w:top w:val="nil"/>
              <w:left w:val="nil"/>
              <w:bottom w:val="nil"/>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290</w:t>
            </w:r>
          </w:p>
        </w:tc>
        <w:tc>
          <w:tcPr>
            <w:tcW w:w="572" w:type="dxa"/>
            <w:tcBorders>
              <w:top w:val="nil"/>
              <w:left w:val="nil"/>
              <w:bottom w:val="nil"/>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71" w:type="dxa"/>
            <w:tcBorders>
              <w:top w:val="nil"/>
              <w:left w:val="nil"/>
              <w:bottom w:val="nil"/>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195</w:t>
            </w:r>
          </w:p>
        </w:tc>
        <w:tc>
          <w:tcPr>
            <w:tcW w:w="572" w:type="dxa"/>
            <w:tcBorders>
              <w:top w:val="nil"/>
              <w:left w:val="nil"/>
              <w:bottom w:val="nil"/>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180</w:t>
            </w:r>
          </w:p>
        </w:tc>
        <w:tc>
          <w:tcPr>
            <w:tcW w:w="571" w:type="dxa"/>
            <w:tcBorders>
              <w:top w:val="nil"/>
              <w:left w:val="nil"/>
              <w:bottom w:val="nil"/>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195</w:t>
            </w:r>
          </w:p>
        </w:tc>
        <w:tc>
          <w:tcPr>
            <w:tcW w:w="572" w:type="dxa"/>
            <w:tcBorders>
              <w:top w:val="nil"/>
              <w:left w:val="nil"/>
              <w:bottom w:val="nil"/>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145</w:t>
            </w:r>
          </w:p>
        </w:tc>
        <w:tc>
          <w:tcPr>
            <w:tcW w:w="571" w:type="dxa"/>
            <w:tcBorders>
              <w:top w:val="nil"/>
              <w:left w:val="nil"/>
              <w:bottom w:val="nil"/>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195</w:t>
            </w:r>
          </w:p>
        </w:tc>
        <w:tc>
          <w:tcPr>
            <w:tcW w:w="572" w:type="dxa"/>
            <w:tcBorders>
              <w:top w:val="nil"/>
              <w:left w:val="nil"/>
              <w:bottom w:val="nil"/>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140</w:t>
            </w:r>
          </w:p>
        </w:tc>
        <w:tc>
          <w:tcPr>
            <w:tcW w:w="571" w:type="dxa"/>
            <w:tcBorders>
              <w:top w:val="nil"/>
              <w:left w:val="nil"/>
              <w:bottom w:val="nil"/>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195</w:t>
            </w:r>
          </w:p>
        </w:tc>
        <w:tc>
          <w:tcPr>
            <w:tcW w:w="572" w:type="dxa"/>
            <w:tcBorders>
              <w:top w:val="nil"/>
              <w:left w:val="nil"/>
              <w:bottom w:val="nil"/>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135</w:t>
            </w:r>
          </w:p>
        </w:tc>
        <w:tc>
          <w:tcPr>
            <w:tcW w:w="596" w:type="dxa"/>
            <w:tcBorders>
              <w:top w:val="nil"/>
              <w:left w:val="double" w:sz="6" w:space="0" w:color="auto"/>
              <w:bottom w:val="nil"/>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290</w:t>
            </w:r>
          </w:p>
        </w:tc>
        <w:tc>
          <w:tcPr>
            <w:tcW w:w="680" w:type="dxa"/>
            <w:tcBorders>
              <w:top w:val="nil"/>
              <w:left w:val="nil"/>
              <w:bottom w:val="nil"/>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96" w:type="dxa"/>
            <w:tcBorders>
              <w:top w:val="nil"/>
              <w:left w:val="nil"/>
              <w:bottom w:val="nil"/>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210</w:t>
            </w:r>
          </w:p>
        </w:tc>
        <w:tc>
          <w:tcPr>
            <w:tcW w:w="680" w:type="dxa"/>
            <w:tcBorders>
              <w:top w:val="nil"/>
              <w:left w:val="nil"/>
              <w:bottom w:val="nil"/>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150</w:t>
            </w:r>
          </w:p>
        </w:tc>
      </w:tr>
      <w:tr w:rsidR="0061721C" w:rsidRPr="00FC1786" w:rsidTr="0061721C">
        <w:trPr>
          <w:trHeight w:val="300"/>
        </w:trPr>
        <w:tc>
          <w:tcPr>
            <w:tcW w:w="102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Γ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2013</w:t>
            </w:r>
          </w:p>
        </w:tc>
        <w:tc>
          <w:tcPr>
            <w:tcW w:w="611" w:type="dxa"/>
            <w:tcBorders>
              <w:top w:val="single" w:sz="4" w:space="0" w:color="auto"/>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125</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72" w:type="dxa"/>
            <w:tcBorders>
              <w:top w:val="single" w:sz="4" w:space="0" w:color="auto"/>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165</w:t>
            </w:r>
          </w:p>
        </w:tc>
        <w:tc>
          <w:tcPr>
            <w:tcW w:w="5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140</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single" w:sz="4" w:space="0" w:color="auto"/>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135</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single" w:sz="4" w:space="0" w:color="auto"/>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130</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single" w:sz="4" w:space="0" w:color="auto"/>
              <w:left w:val="nil"/>
              <w:bottom w:val="single" w:sz="4"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125</w:t>
            </w:r>
          </w:p>
        </w:tc>
        <w:tc>
          <w:tcPr>
            <w:tcW w:w="5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680" w:type="dxa"/>
            <w:tcBorders>
              <w:top w:val="single" w:sz="4" w:space="0" w:color="auto"/>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165</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200</w:t>
            </w:r>
          </w:p>
        </w:tc>
        <w:tc>
          <w:tcPr>
            <w:tcW w:w="680" w:type="dxa"/>
            <w:tcBorders>
              <w:top w:val="single" w:sz="4" w:space="0" w:color="auto"/>
              <w:left w:val="nil"/>
              <w:bottom w:val="single" w:sz="4"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140</w:t>
            </w:r>
          </w:p>
        </w:tc>
      </w:tr>
      <w:tr w:rsidR="0061721C" w:rsidRPr="00FC1786" w:rsidTr="0061721C">
        <w:trPr>
          <w:trHeight w:val="315"/>
        </w:trPr>
        <w:tc>
          <w:tcPr>
            <w:tcW w:w="1024" w:type="dxa"/>
            <w:tcBorders>
              <w:top w:val="nil"/>
              <w:left w:val="single" w:sz="8" w:space="0" w:color="auto"/>
              <w:bottom w:val="single" w:sz="8" w:space="0" w:color="auto"/>
              <w:right w:val="nil"/>
            </w:tcBorders>
            <w:shd w:val="clear" w:color="000000" w:fill="FFFFFF"/>
            <w:noWrap/>
            <w:vAlign w:val="center"/>
            <w:hideMark/>
          </w:tcPr>
          <w:p w:rsidR="00FF2AB3" w:rsidRPr="00FC1786" w:rsidRDefault="00FF2AB3" w:rsidP="0061721C">
            <w:pPr>
              <w:tabs>
                <w:tab w:val="center" w:pos="4153"/>
                <w:tab w:val="right" w:pos="8306"/>
              </w:tabs>
              <w:spacing w:before="40" w:after="40" w:line="240" w:lineRule="auto"/>
              <w:rPr>
                <w:rFonts w:eastAsia="Times New Roman"/>
                <w:color w:val="000000"/>
                <w:sz w:val="18"/>
                <w:szCs w:val="18"/>
                <w:lang w:eastAsia="el-GR"/>
              </w:rPr>
            </w:pPr>
            <w:r w:rsidRPr="00FC1786">
              <w:rPr>
                <w:rFonts w:eastAsia="Times New Roman"/>
                <w:color w:val="000000"/>
                <w:sz w:val="18"/>
                <w:szCs w:val="18"/>
                <w:lang w:eastAsia="el-GR"/>
              </w:rPr>
              <w:t xml:space="preserve">Δ </w:t>
            </w:r>
            <w:proofErr w:type="spellStart"/>
            <w:r w:rsidRPr="00FC1786">
              <w:rPr>
                <w:rFonts w:eastAsia="Times New Roman"/>
                <w:color w:val="000000"/>
                <w:sz w:val="18"/>
                <w:szCs w:val="18"/>
                <w:lang w:eastAsia="el-GR"/>
              </w:rPr>
              <w:t>Τριμ</w:t>
            </w:r>
            <w:proofErr w:type="spellEnd"/>
            <w:r w:rsidRPr="00FC1786">
              <w:rPr>
                <w:rFonts w:eastAsia="Times New Roman"/>
                <w:color w:val="000000"/>
                <w:sz w:val="18"/>
                <w:szCs w:val="18"/>
                <w:lang w:eastAsia="el-GR"/>
              </w:rPr>
              <w:t>. 2013</w:t>
            </w:r>
          </w:p>
        </w:tc>
        <w:tc>
          <w:tcPr>
            <w:tcW w:w="611" w:type="dxa"/>
            <w:tcBorders>
              <w:top w:val="nil"/>
              <w:left w:val="single" w:sz="8" w:space="0" w:color="auto"/>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125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165</w:t>
            </w:r>
          </w:p>
        </w:tc>
        <w:tc>
          <w:tcPr>
            <w:tcW w:w="571" w:type="dxa"/>
            <w:tcBorders>
              <w:top w:val="nil"/>
              <w:left w:val="nil"/>
              <w:bottom w:val="single" w:sz="8" w:space="0" w:color="auto"/>
              <w:right w:val="single" w:sz="4"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nil"/>
              <w:left w:val="nil"/>
              <w:bottom w:val="single" w:sz="8" w:space="0" w:color="auto"/>
              <w:right w:val="single" w:sz="8" w:space="0" w:color="auto"/>
            </w:tcBorders>
            <w:shd w:val="clear" w:color="auto" w:fill="FFFFFF" w:themeFill="background1"/>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140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135</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130</w:t>
            </w:r>
          </w:p>
        </w:tc>
        <w:tc>
          <w:tcPr>
            <w:tcW w:w="571"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185</w:t>
            </w:r>
          </w:p>
        </w:tc>
        <w:tc>
          <w:tcPr>
            <w:tcW w:w="572" w:type="dxa"/>
            <w:tcBorders>
              <w:top w:val="nil"/>
              <w:left w:val="nil"/>
              <w:bottom w:val="single" w:sz="8" w:space="0" w:color="auto"/>
              <w:right w:val="nil"/>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125</w:t>
            </w:r>
          </w:p>
        </w:tc>
        <w:tc>
          <w:tcPr>
            <w:tcW w:w="596" w:type="dxa"/>
            <w:tcBorders>
              <w:top w:val="nil"/>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230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165</w:t>
            </w:r>
          </w:p>
        </w:tc>
        <w:tc>
          <w:tcPr>
            <w:tcW w:w="596"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200</w:t>
            </w:r>
          </w:p>
        </w:tc>
        <w:tc>
          <w:tcPr>
            <w:tcW w:w="68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61721C">
            <w:pPr>
              <w:spacing w:before="40" w:after="40" w:line="240" w:lineRule="auto"/>
              <w:jc w:val="center"/>
              <w:rPr>
                <w:rFonts w:eastAsia="Times New Roman"/>
                <w:sz w:val="18"/>
                <w:szCs w:val="18"/>
                <w:lang w:val="en-US" w:eastAsia="el-GR"/>
              </w:rPr>
            </w:pPr>
            <w:r w:rsidRPr="00FC1786">
              <w:rPr>
                <w:rFonts w:eastAsia="Times New Roman"/>
                <w:sz w:val="18"/>
                <w:szCs w:val="18"/>
                <w:lang w:val="en-US" w:eastAsia="el-GR"/>
              </w:rPr>
              <w:t>140</w:t>
            </w:r>
          </w:p>
        </w:tc>
      </w:tr>
    </w:tbl>
    <w:p w:rsidR="00FF2AB3" w:rsidRPr="00A06551" w:rsidRDefault="00FF2AB3" w:rsidP="00FC1786">
      <w:pPr>
        <w:spacing w:before="360"/>
      </w:pPr>
      <w:r w:rsidRPr="00A06551">
        <w:t xml:space="preserve">Για σταθμούς ισχύος έως και 20 </w:t>
      </w:r>
      <w:r w:rsidRPr="00A06551">
        <w:rPr>
          <w:lang w:val="en-US"/>
        </w:rPr>
        <w:t>kW</w:t>
      </w:r>
      <w:r w:rsidRPr="00A06551">
        <w:t xml:space="preserve">, που δεν εντάσσονται στο «ειδικό πρόγραμμα ανάπτυξης </w:t>
      </w:r>
      <w:proofErr w:type="spellStart"/>
      <w:r w:rsidRPr="00A06551">
        <w:t>φωτοβολταϊκών</w:t>
      </w:r>
      <w:proofErr w:type="spellEnd"/>
      <w:r w:rsidRPr="00A06551">
        <w:t xml:space="preserve"> σε κτίρια», οι τιμές του πίνακα προσαυξάνονται κατά 10%. </w:t>
      </w:r>
      <w:r>
        <w:t>Η διάταξη του προηγούμενου εδαφίου δεν εφαρμόζεται σ</w:t>
      </w:r>
      <w:r w:rsidRPr="00A06551">
        <w:t xml:space="preserve">τις περιπτώσεις </w:t>
      </w:r>
      <w:r>
        <w:t xml:space="preserve">σταθμών </w:t>
      </w:r>
      <w:r w:rsidRPr="00A06551">
        <w:t xml:space="preserve">που η προσαύξηση του 10% οδηγεί σε τιμή υψηλότερη της τιμής αποζημίωσης </w:t>
      </w:r>
      <w:r>
        <w:t>που εφαρμόζεται για την εκτέλεση των συμβάσεων πώλησης για την ενέργεια που έχει παραχθεί τον Ιανουάριο του 2014</w:t>
      </w:r>
      <w:r w:rsidRPr="00A06551">
        <w:t>.</w:t>
      </w:r>
    </w:p>
    <w:p w:rsidR="00FF2AB3" w:rsidRPr="00A06551" w:rsidRDefault="00FF2AB3" w:rsidP="00FF2AB3">
      <w:r w:rsidRPr="00A06551">
        <w:t xml:space="preserve">Για σταθμούς ισχύος έως και 100 </w:t>
      </w:r>
      <w:r w:rsidRPr="00A06551">
        <w:rPr>
          <w:lang w:val="en-US"/>
        </w:rPr>
        <w:t>kW</w:t>
      </w:r>
      <w:r w:rsidRPr="00A06551">
        <w:t xml:space="preserve"> που ανήκουν σε </w:t>
      </w:r>
      <w:proofErr w:type="spellStart"/>
      <w:r w:rsidRPr="00A06551">
        <w:t>κατ΄</w:t>
      </w:r>
      <w:proofErr w:type="spellEnd"/>
      <w:r w:rsidRPr="00A06551">
        <w:t xml:space="preserve"> επάγγελμα αγρότες, οι τιμές του πίνακα προσαυξάνονται </w:t>
      </w:r>
      <w:r w:rsidRPr="00992196">
        <w:t xml:space="preserve">κατά 10%. </w:t>
      </w:r>
      <w:r>
        <w:t>Η διάταξη του προηγούμενου εδαφίου δεν εφαρμόζεται σ</w:t>
      </w:r>
      <w:r w:rsidRPr="00A06551">
        <w:t xml:space="preserve">τις περιπτώσεις </w:t>
      </w:r>
      <w:r>
        <w:t xml:space="preserve">σταθμών που </w:t>
      </w:r>
      <w:r w:rsidRPr="00992196">
        <w:t>η προσαύξηση του 10%</w:t>
      </w:r>
      <w:r w:rsidRPr="00A06551">
        <w:t xml:space="preserve"> οδηγεί σε τιμή υψηλότερη της τιμής αποζημίωσης </w:t>
      </w:r>
      <w:r>
        <w:t xml:space="preserve">που εφαρμόζεται για την εκτέλεση των συμβάσεων πώλησης για την ενέργεια που έχει παραχθεί τον Ιανουάριο του 2014 </w:t>
      </w:r>
      <w:r w:rsidRPr="00A06551">
        <w:t xml:space="preserve"> </w:t>
      </w:r>
      <w:r>
        <w:t xml:space="preserve">Σε περίπτωση μεταβίβασης του σταθμού σε φυσικό ή νομικό πρόσωπο που δεν ανήκει στην κατηγορία των </w:t>
      </w:r>
      <w:proofErr w:type="spellStart"/>
      <w:r>
        <w:t>κατ΄επάγγελμα</w:t>
      </w:r>
      <w:proofErr w:type="spellEnd"/>
      <w:r>
        <w:t xml:space="preserve"> αγροτών </w:t>
      </w:r>
      <w:proofErr w:type="spellStart"/>
      <w:r>
        <w:t>επενακαθορίζεται</w:t>
      </w:r>
      <w:proofErr w:type="spellEnd"/>
      <w:r>
        <w:t xml:space="preserve"> η τιμή αποζημίωσης, από την ημερομηνία μεταβίβασης, με βάση τις διατάξεις του παρόντος χωρίς την προσαύξηση του 10%.  </w:t>
      </w:r>
    </w:p>
    <w:p w:rsidR="00FF2AB3" w:rsidRPr="00A06551" w:rsidRDefault="00FF2AB3" w:rsidP="00FC1786">
      <w:pPr>
        <w:tabs>
          <w:tab w:val="left" w:pos="1911"/>
        </w:tabs>
        <w:spacing w:before="600" w:after="120" w:line="240" w:lineRule="auto"/>
      </w:pPr>
      <w:r w:rsidRPr="00A06551">
        <w:t>β. Τιμολόγηση (€/</w:t>
      </w:r>
      <w:proofErr w:type="spellStart"/>
      <w:r w:rsidRPr="00A06551">
        <w:rPr>
          <w:lang w:val="en-US"/>
        </w:rPr>
        <w:t>MWh</w:t>
      </w:r>
      <w:proofErr w:type="spellEnd"/>
      <w:r w:rsidRPr="00A06551">
        <w:t>) ηλεκτρικής ενέργειας από αιολικούς σταθμούς</w:t>
      </w:r>
    </w:p>
    <w:tbl>
      <w:tblPr>
        <w:tblW w:w="5000" w:type="pct"/>
        <w:tblLook w:val="04A0" w:firstRow="1" w:lastRow="0" w:firstColumn="1" w:lastColumn="0" w:noHBand="0" w:noVBand="1"/>
      </w:tblPr>
      <w:tblGrid>
        <w:gridCol w:w="964"/>
        <w:gridCol w:w="611"/>
        <w:gridCol w:w="602"/>
        <w:gridCol w:w="602"/>
        <w:gridCol w:w="602"/>
        <w:gridCol w:w="602"/>
        <w:gridCol w:w="602"/>
        <w:gridCol w:w="602"/>
        <w:gridCol w:w="602"/>
        <w:gridCol w:w="602"/>
        <w:gridCol w:w="602"/>
        <w:gridCol w:w="602"/>
        <w:gridCol w:w="602"/>
      </w:tblGrid>
      <w:tr w:rsidR="00FF2AB3" w:rsidRPr="00FC1786" w:rsidTr="00FC1786">
        <w:trPr>
          <w:trHeight w:val="315"/>
        </w:trPr>
        <w:tc>
          <w:tcPr>
            <w:tcW w:w="13200"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ΑΙΟΛΙΚΟΙ ΣΤΑΘΜΟΙ</w:t>
            </w:r>
          </w:p>
        </w:tc>
      </w:tr>
      <w:tr w:rsidR="00FF2AB3" w:rsidRPr="00FC1786" w:rsidTr="00FC1786">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rPr>
                <w:rFonts w:eastAsia="Times New Roman"/>
                <w:color w:val="000000"/>
                <w:sz w:val="18"/>
                <w:szCs w:val="18"/>
                <w:lang w:eastAsia="el-GR"/>
              </w:rPr>
            </w:pPr>
            <w:r w:rsidRPr="00FC1786">
              <w:rPr>
                <w:rFonts w:eastAsia="Times New Roman"/>
                <w:color w:val="000000"/>
                <w:sz w:val="18"/>
                <w:szCs w:val="18"/>
                <w:lang w:eastAsia="el-GR"/>
              </w:rPr>
              <w:t> </w:t>
            </w:r>
          </w:p>
        </w:tc>
        <w:tc>
          <w:tcPr>
            <w:tcW w:w="5780" w:type="dxa"/>
            <w:gridSpan w:val="6"/>
            <w:tcBorders>
              <w:top w:val="single" w:sz="8" w:space="0" w:color="auto"/>
              <w:left w:val="nil"/>
              <w:bottom w:val="nil"/>
              <w:right w:val="nil"/>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ΔΙΑΣΥΝΔΕΔΕΜΕΝΟ ΣΥΣΤΗΜΑ</w:t>
            </w:r>
          </w:p>
        </w:tc>
        <w:tc>
          <w:tcPr>
            <w:tcW w:w="5760" w:type="dxa"/>
            <w:gridSpan w:val="6"/>
            <w:tcBorders>
              <w:top w:val="single" w:sz="8" w:space="0" w:color="auto"/>
              <w:left w:val="double" w:sz="6" w:space="0" w:color="auto"/>
              <w:bottom w:val="nil"/>
              <w:right w:val="single" w:sz="8" w:space="0" w:color="000000"/>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ΜΗ ΔΙΑΣΥΝΔΕΔΕΜΕΝΟ ΣΥΣΤΗΜΑ</w:t>
            </w:r>
          </w:p>
        </w:tc>
      </w:tr>
      <w:tr w:rsidR="00FF2AB3" w:rsidRPr="00FC1786" w:rsidTr="00FC1786">
        <w:trPr>
          <w:trHeight w:val="300"/>
        </w:trPr>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Περίοδος Διασύνδεσης</w:t>
            </w:r>
          </w:p>
        </w:tc>
        <w:tc>
          <w:tcPr>
            <w:tcW w:w="194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Α/Π έως </w:t>
            </w:r>
            <w:proofErr w:type="spellStart"/>
            <w:r w:rsidRPr="00FC1786">
              <w:rPr>
                <w:rFonts w:eastAsia="Times New Roman"/>
                <w:color w:val="000000"/>
                <w:sz w:val="18"/>
                <w:szCs w:val="18"/>
                <w:lang w:eastAsia="el-GR"/>
              </w:rPr>
              <w:t>5MW</w:t>
            </w:r>
            <w:proofErr w:type="spellEnd"/>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5MW&lt;P≤20MW</w:t>
            </w:r>
            <w:proofErr w:type="spellEnd"/>
          </w:p>
        </w:tc>
        <w:tc>
          <w:tcPr>
            <w:tcW w:w="1920" w:type="dxa"/>
            <w:gridSpan w:val="2"/>
            <w:tcBorders>
              <w:top w:val="single" w:sz="8" w:space="0" w:color="auto"/>
              <w:left w:val="nil"/>
              <w:bottom w:val="single" w:sz="4"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P&gt;20MW</w:t>
            </w:r>
            <w:proofErr w:type="spellEnd"/>
          </w:p>
        </w:tc>
        <w:tc>
          <w:tcPr>
            <w:tcW w:w="1920" w:type="dxa"/>
            <w:gridSpan w:val="2"/>
            <w:tcBorders>
              <w:top w:val="single" w:sz="8" w:space="0" w:color="auto"/>
              <w:left w:val="double" w:sz="6" w:space="0" w:color="auto"/>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 xml:space="preserve">Α/Π έως </w:t>
            </w:r>
            <w:proofErr w:type="spellStart"/>
            <w:r w:rsidRPr="00FC1786">
              <w:rPr>
                <w:rFonts w:eastAsia="Times New Roman"/>
                <w:color w:val="000000"/>
                <w:sz w:val="18"/>
                <w:szCs w:val="18"/>
                <w:lang w:eastAsia="el-GR"/>
              </w:rPr>
              <w:t>5MW</w:t>
            </w:r>
            <w:proofErr w:type="spellEnd"/>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5MW&lt;P≤20MW</w:t>
            </w:r>
            <w:proofErr w:type="spellEnd"/>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P&gt;20MW</w:t>
            </w:r>
            <w:proofErr w:type="spellEnd"/>
          </w:p>
        </w:tc>
      </w:tr>
      <w:tr w:rsidR="00FF2AB3" w:rsidRPr="00FC1786" w:rsidTr="00FC1786">
        <w:trPr>
          <w:trHeight w:val="315"/>
        </w:trPr>
        <w:tc>
          <w:tcPr>
            <w:tcW w:w="1660" w:type="dxa"/>
            <w:vMerge/>
            <w:tcBorders>
              <w:top w:val="nil"/>
              <w:left w:val="single" w:sz="8" w:space="0" w:color="auto"/>
              <w:bottom w:val="single" w:sz="8" w:space="0" w:color="000000"/>
              <w:right w:val="single" w:sz="8" w:space="0" w:color="auto"/>
            </w:tcBorders>
            <w:vAlign w:val="center"/>
            <w:hideMark/>
          </w:tcPr>
          <w:p w:rsidR="00FF2AB3" w:rsidRPr="00FC1786" w:rsidRDefault="00FF2AB3" w:rsidP="00FF2AB3">
            <w:pPr>
              <w:spacing w:line="240" w:lineRule="auto"/>
              <w:rPr>
                <w:rFonts w:eastAsia="Times New Roman"/>
                <w:color w:val="000000"/>
                <w:sz w:val="18"/>
                <w:szCs w:val="18"/>
                <w:lang w:eastAsia="el-GR"/>
              </w:rPr>
            </w:pPr>
          </w:p>
        </w:tc>
        <w:tc>
          <w:tcPr>
            <w:tcW w:w="98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double" w:sz="4"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double" w:sz="4" w:space="0" w:color="auto"/>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r>
      <w:tr w:rsidR="00FF2AB3" w:rsidRPr="00FC1786" w:rsidTr="00FC1786">
        <w:trPr>
          <w:trHeight w:val="300"/>
        </w:trPr>
        <w:tc>
          <w:tcPr>
            <w:tcW w:w="1660" w:type="dxa"/>
            <w:tcBorders>
              <w:top w:val="nil"/>
              <w:left w:val="single" w:sz="8" w:space="0" w:color="auto"/>
              <w:bottom w:val="single" w:sz="4" w:space="0" w:color="auto"/>
              <w:right w:val="single" w:sz="8" w:space="0" w:color="auto"/>
            </w:tcBorders>
            <w:shd w:val="clear" w:color="000000" w:fill="FFFFFF"/>
            <w:noWrap/>
            <w:vAlign w:val="bottom"/>
            <w:hideMark/>
          </w:tcPr>
          <w:p w:rsidR="00FF2AB3" w:rsidRPr="00FC1786" w:rsidRDefault="00FF2AB3" w:rsidP="00FF2AB3">
            <w:pPr>
              <w:spacing w:line="240" w:lineRule="auto"/>
              <w:rPr>
                <w:rFonts w:eastAsia="Times New Roman"/>
                <w:color w:val="000000"/>
                <w:sz w:val="18"/>
                <w:szCs w:val="18"/>
                <w:lang w:eastAsia="el-GR"/>
              </w:rPr>
            </w:pPr>
            <w:r w:rsidRPr="00FC1786">
              <w:rPr>
                <w:rFonts w:eastAsia="Times New Roman"/>
                <w:color w:val="000000"/>
                <w:sz w:val="18"/>
                <w:szCs w:val="18"/>
                <w:lang w:eastAsia="el-GR"/>
              </w:rPr>
              <w:t>έως 31/12/2006</w:t>
            </w:r>
          </w:p>
        </w:tc>
        <w:tc>
          <w:tcPr>
            <w:tcW w:w="980" w:type="dxa"/>
            <w:tcBorders>
              <w:top w:val="nil"/>
              <w:left w:val="nil"/>
              <w:bottom w:val="single" w:sz="4" w:space="0" w:color="auto"/>
              <w:right w:val="single" w:sz="4"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107</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87</w:t>
            </w:r>
          </w:p>
        </w:tc>
        <w:tc>
          <w:tcPr>
            <w:tcW w:w="960"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107</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84</w:t>
            </w:r>
          </w:p>
        </w:tc>
        <w:tc>
          <w:tcPr>
            <w:tcW w:w="960" w:type="dxa"/>
            <w:tcBorders>
              <w:top w:val="nil"/>
              <w:left w:val="nil"/>
              <w:bottom w:val="single" w:sz="4" w:space="0" w:color="auto"/>
              <w:right w:val="single" w:sz="4"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105</w:t>
            </w:r>
          </w:p>
        </w:tc>
        <w:tc>
          <w:tcPr>
            <w:tcW w:w="960" w:type="dxa"/>
            <w:tcBorders>
              <w:top w:val="nil"/>
              <w:left w:val="nil"/>
              <w:bottom w:val="single" w:sz="4" w:space="0" w:color="auto"/>
              <w:right w:val="nil"/>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82</w:t>
            </w:r>
          </w:p>
        </w:tc>
        <w:tc>
          <w:tcPr>
            <w:tcW w:w="960" w:type="dxa"/>
            <w:tcBorders>
              <w:top w:val="nil"/>
              <w:left w:val="double" w:sz="6" w:space="0" w:color="auto"/>
              <w:bottom w:val="single" w:sz="4" w:space="0" w:color="auto"/>
              <w:right w:val="single" w:sz="4"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120</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93</w:t>
            </w:r>
          </w:p>
        </w:tc>
        <w:tc>
          <w:tcPr>
            <w:tcW w:w="960" w:type="dxa"/>
            <w:tcBorders>
              <w:top w:val="nil"/>
              <w:left w:val="nil"/>
              <w:bottom w:val="single" w:sz="4" w:space="0" w:color="auto"/>
              <w:right w:val="single" w:sz="4"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120</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90</w:t>
            </w:r>
          </w:p>
        </w:tc>
        <w:tc>
          <w:tcPr>
            <w:tcW w:w="960"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115</w:t>
            </w:r>
          </w:p>
        </w:tc>
        <w:tc>
          <w:tcPr>
            <w:tcW w:w="960" w:type="dxa"/>
            <w:tcBorders>
              <w:top w:val="nil"/>
              <w:left w:val="nil"/>
              <w:bottom w:val="single" w:sz="4"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84</w:t>
            </w:r>
          </w:p>
        </w:tc>
      </w:tr>
      <w:tr w:rsidR="00FF2AB3" w:rsidRPr="00FC1786" w:rsidTr="00FC1786">
        <w:trPr>
          <w:trHeight w:val="315"/>
        </w:trPr>
        <w:tc>
          <w:tcPr>
            <w:tcW w:w="16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rPr>
                <w:rFonts w:eastAsia="Times New Roman"/>
                <w:color w:val="000000"/>
                <w:sz w:val="18"/>
                <w:szCs w:val="18"/>
                <w:lang w:eastAsia="el-GR"/>
              </w:rPr>
            </w:pPr>
            <w:r w:rsidRPr="00FC1786">
              <w:rPr>
                <w:rFonts w:eastAsia="Times New Roman"/>
                <w:color w:val="000000"/>
                <w:sz w:val="18"/>
                <w:szCs w:val="18"/>
                <w:lang w:eastAsia="el-GR"/>
              </w:rPr>
              <w:t>από 01/01/2007</w:t>
            </w:r>
          </w:p>
        </w:tc>
        <w:tc>
          <w:tcPr>
            <w:tcW w:w="98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val="en-US" w:eastAsia="el-GR"/>
              </w:rPr>
              <w:t>107</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8</w:t>
            </w:r>
            <w:r w:rsidRPr="00FC1786">
              <w:rPr>
                <w:rFonts w:eastAsia="Times New Roman"/>
                <w:color w:val="000000"/>
                <w:sz w:val="18"/>
                <w:szCs w:val="18"/>
                <w:lang w:val="en-US" w:eastAsia="el-GR"/>
              </w:rPr>
              <w:t>9</w:t>
            </w:r>
          </w:p>
        </w:tc>
        <w:tc>
          <w:tcPr>
            <w:tcW w:w="96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10</w:t>
            </w:r>
            <w:r w:rsidRPr="00FC1786">
              <w:rPr>
                <w:rFonts w:eastAsia="Times New Roman"/>
                <w:color w:val="000000"/>
                <w:sz w:val="18"/>
                <w:szCs w:val="18"/>
                <w:lang w:val="en-US" w:eastAsia="el-GR"/>
              </w:rPr>
              <w:t>7</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8</w:t>
            </w:r>
            <w:r w:rsidRPr="00FC1786">
              <w:rPr>
                <w:rFonts w:eastAsia="Times New Roman"/>
                <w:color w:val="000000"/>
                <w:sz w:val="18"/>
                <w:szCs w:val="18"/>
                <w:lang w:val="en-US" w:eastAsia="el-GR"/>
              </w:rPr>
              <w:t>6</w:t>
            </w:r>
          </w:p>
        </w:tc>
        <w:tc>
          <w:tcPr>
            <w:tcW w:w="96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10</w:t>
            </w:r>
            <w:r w:rsidRPr="00FC1786">
              <w:rPr>
                <w:rFonts w:eastAsia="Times New Roman"/>
                <w:color w:val="000000"/>
                <w:sz w:val="18"/>
                <w:szCs w:val="18"/>
                <w:lang w:val="en-US" w:eastAsia="el-GR"/>
              </w:rPr>
              <w:t>5</w:t>
            </w:r>
          </w:p>
        </w:tc>
        <w:tc>
          <w:tcPr>
            <w:tcW w:w="960" w:type="dxa"/>
            <w:tcBorders>
              <w:top w:val="nil"/>
              <w:left w:val="nil"/>
              <w:bottom w:val="single" w:sz="8" w:space="0" w:color="auto"/>
              <w:right w:val="nil"/>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8</w:t>
            </w:r>
            <w:r w:rsidRPr="00FC1786">
              <w:rPr>
                <w:rFonts w:eastAsia="Times New Roman"/>
                <w:color w:val="000000"/>
                <w:sz w:val="18"/>
                <w:szCs w:val="18"/>
                <w:lang w:val="en-US" w:eastAsia="el-GR"/>
              </w:rPr>
              <w:t>4</w:t>
            </w:r>
          </w:p>
        </w:tc>
        <w:tc>
          <w:tcPr>
            <w:tcW w:w="960" w:type="dxa"/>
            <w:tcBorders>
              <w:top w:val="nil"/>
              <w:left w:val="double" w:sz="6" w:space="0" w:color="auto"/>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120</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95</w:t>
            </w:r>
          </w:p>
        </w:tc>
        <w:tc>
          <w:tcPr>
            <w:tcW w:w="96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120</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9</w:t>
            </w:r>
            <w:r w:rsidRPr="00FC1786">
              <w:rPr>
                <w:rFonts w:eastAsia="Times New Roman"/>
                <w:color w:val="000000"/>
                <w:sz w:val="18"/>
                <w:szCs w:val="18"/>
                <w:lang w:val="en-US" w:eastAsia="el-GR"/>
              </w:rPr>
              <w:t>2</w:t>
            </w:r>
          </w:p>
        </w:tc>
        <w:tc>
          <w:tcPr>
            <w:tcW w:w="96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11</w:t>
            </w:r>
            <w:r w:rsidRPr="00FC1786">
              <w:rPr>
                <w:rFonts w:eastAsia="Times New Roman"/>
                <w:color w:val="000000"/>
                <w:sz w:val="18"/>
                <w:szCs w:val="18"/>
                <w:lang w:val="en-US" w:eastAsia="el-GR"/>
              </w:rPr>
              <w:t>5</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val="en-US" w:eastAsia="el-GR"/>
              </w:rPr>
            </w:pPr>
            <w:r w:rsidRPr="00FC1786">
              <w:rPr>
                <w:rFonts w:eastAsia="Times New Roman"/>
                <w:color w:val="000000"/>
                <w:sz w:val="18"/>
                <w:szCs w:val="18"/>
                <w:lang w:eastAsia="el-GR"/>
              </w:rPr>
              <w:t>8</w:t>
            </w:r>
            <w:r w:rsidRPr="00FC1786">
              <w:rPr>
                <w:rFonts w:eastAsia="Times New Roman"/>
                <w:color w:val="000000"/>
                <w:sz w:val="18"/>
                <w:szCs w:val="18"/>
                <w:lang w:val="en-US" w:eastAsia="el-GR"/>
              </w:rPr>
              <w:t>9</w:t>
            </w:r>
          </w:p>
        </w:tc>
      </w:tr>
    </w:tbl>
    <w:p w:rsidR="00FF2AB3" w:rsidRPr="00A06551" w:rsidRDefault="00FF2AB3" w:rsidP="00FF2AB3">
      <w:pPr>
        <w:tabs>
          <w:tab w:val="left" w:pos="1911"/>
        </w:tabs>
        <w:spacing w:after="120" w:line="240" w:lineRule="auto"/>
      </w:pPr>
      <w:r w:rsidRPr="00A06551">
        <w:t>γ. Τιμολόγηση (€/</w:t>
      </w:r>
      <w:proofErr w:type="spellStart"/>
      <w:r w:rsidRPr="00A06551">
        <w:t>MW</w:t>
      </w:r>
      <w:proofErr w:type="spellEnd"/>
      <w:r w:rsidRPr="00A06551">
        <w:t>h) ηλεκτρικής ενέργειας από μικρούς υδροηλεκτρικούς σταθμούς με εγκατεστημένη ισχύ έως 15 M</w:t>
      </w:r>
      <w:r w:rsidRPr="00A06551">
        <w:rPr>
          <w:lang w:val="en-US"/>
        </w:rPr>
        <w:t>W</w:t>
      </w:r>
      <w:r w:rsidRPr="00A06551">
        <w:t>e</w:t>
      </w:r>
    </w:p>
    <w:tbl>
      <w:tblPr>
        <w:tblW w:w="7440" w:type="dxa"/>
        <w:tblInd w:w="91" w:type="dxa"/>
        <w:tblLook w:val="04A0" w:firstRow="1" w:lastRow="0" w:firstColumn="1" w:lastColumn="0" w:noHBand="0" w:noVBand="1"/>
      </w:tblPr>
      <w:tblGrid>
        <w:gridCol w:w="1860"/>
        <w:gridCol w:w="780"/>
        <w:gridCol w:w="960"/>
        <w:gridCol w:w="960"/>
        <w:gridCol w:w="960"/>
        <w:gridCol w:w="960"/>
        <w:gridCol w:w="960"/>
      </w:tblGrid>
      <w:tr w:rsidR="00FF2AB3" w:rsidRPr="00FC1786" w:rsidTr="00FF2AB3">
        <w:trPr>
          <w:trHeight w:val="315"/>
        </w:trPr>
        <w:tc>
          <w:tcPr>
            <w:tcW w:w="744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ΜΙΚΡΑ ΥΔΡΟΗΛΕΚΤΡΙΚΑ</w:t>
            </w:r>
            <w:r w:rsidRPr="00FC1786">
              <w:rPr>
                <w:rFonts w:eastAsia="Times New Roman"/>
                <w:color w:val="000000"/>
                <w:sz w:val="18"/>
                <w:szCs w:val="18"/>
                <w:lang w:val="en-US" w:eastAsia="el-GR"/>
              </w:rPr>
              <w:t xml:space="preserve"> </w:t>
            </w:r>
            <w:r w:rsidRPr="00FC1786">
              <w:rPr>
                <w:rFonts w:eastAsia="Times New Roman"/>
                <w:color w:val="000000"/>
                <w:sz w:val="18"/>
                <w:szCs w:val="18"/>
                <w:lang w:eastAsia="el-GR"/>
              </w:rPr>
              <w:t>ΕΡΓΑ</w:t>
            </w:r>
          </w:p>
        </w:tc>
      </w:tr>
      <w:tr w:rsidR="00FF2AB3" w:rsidRPr="00FC1786" w:rsidTr="00FF2AB3">
        <w:trPr>
          <w:trHeight w:val="30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Περίοδος Διασύνδεσης</w:t>
            </w:r>
          </w:p>
        </w:tc>
        <w:tc>
          <w:tcPr>
            <w:tcW w:w="174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MΥΗΣ</w:t>
            </w:r>
            <w:proofErr w:type="spellEnd"/>
            <w:r w:rsidRPr="00FC1786">
              <w:rPr>
                <w:rFonts w:eastAsia="Times New Roman"/>
                <w:color w:val="000000"/>
                <w:sz w:val="18"/>
                <w:szCs w:val="18"/>
                <w:lang w:eastAsia="el-GR"/>
              </w:rPr>
              <w:t xml:space="preserve"> έως </w:t>
            </w:r>
            <w:proofErr w:type="spellStart"/>
            <w:r w:rsidRPr="00FC1786">
              <w:rPr>
                <w:rFonts w:eastAsia="Times New Roman"/>
                <w:color w:val="000000"/>
                <w:sz w:val="18"/>
                <w:szCs w:val="18"/>
                <w:lang w:eastAsia="el-GR"/>
              </w:rPr>
              <w:t>1MW</w:t>
            </w:r>
            <w:proofErr w:type="spellEnd"/>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1MW&lt;P≤5MW</w:t>
            </w:r>
            <w:proofErr w:type="spellEnd"/>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P&gt;5MW</w:t>
            </w:r>
            <w:proofErr w:type="spellEnd"/>
          </w:p>
        </w:tc>
      </w:tr>
      <w:tr w:rsidR="00FF2AB3" w:rsidRPr="00FC1786" w:rsidTr="00FF2AB3">
        <w:trPr>
          <w:trHeight w:val="315"/>
        </w:trPr>
        <w:tc>
          <w:tcPr>
            <w:tcW w:w="1860" w:type="dxa"/>
            <w:vMerge/>
            <w:tcBorders>
              <w:top w:val="nil"/>
              <w:left w:val="single" w:sz="8" w:space="0" w:color="auto"/>
              <w:bottom w:val="single" w:sz="8" w:space="0" w:color="000000"/>
              <w:right w:val="single" w:sz="8" w:space="0" w:color="auto"/>
            </w:tcBorders>
            <w:vAlign w:val="center"/>
            <w:hideMark/>
          </w:tcPr>
          <w:p w:rsidR="00FF2AB3" w:rsidRPr="00FC1786" w:rsidRDefault="00FF2AB3" w:rsidP="00FF2AB3">
            <w:pPr>
              <w:spacing w:line="240" w:lineRule="auto"/>
              <w:rPr>
                <w:rFonts w:eastAsia="Times New Roman"/>
                <w:color w:val="000000"/>
                <w:sz w:val="18"/>
                <w:szCs w:val="18"/>
                <w:lang w:eastAsia="el-GR"/>
              </w:rPr>
            </w:pPr>
          </w:p>
        </w:tc>
        <w:tc>
          <w:tcPr>
            <w:tcW w:w="78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c>
          <w:tcPr>
            <w:tcW w:w="960" w:type="dxa"/>
            <w:tcBorders>
              <w:top w:val="nil"/>
              <w:left w:val="nil"/>
              <w:bottom w:val="single" w:sz="8" w:space="0" w:color="auto"/>
              <w:right w:val="single" w:sz="4" w:space="0" w:color="auto"/>
            </w:tcBorders>
            <w:shd w:val="clear" w:color="auto" w:fill="auto"/>
            <w:vAlign w:val="center"/>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XE</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proofErr w:type="spellStart"/>
            <w:r w:rsidRPr="00FC1786">
              <w:rPr>
                <w:rFonts w:eastAsia="Times New Roman"/>
                <w:color w:val="000000"/>
                <w:sz w:val="18"/>
                <w:szCs w:val="18"/>
                <w:lang w:eastAsia="el-GR"/>
              </w:rPr>
              <w:t>ME</w:t>
            </w:r>
            <w:proofErr w:type="spellEnd"/>
          </w:p>
        </w:tc>
      </w:tr>
      <w:tr w:rsidR="00FF2AB3" w:rsidRPr="00FC1786" w:rsidTr="00FF2AB3">
        <w:trPr>
          <w:trHeight w:val="300"/>
        </w:trPr>
        <w:tc>
          <w:tcPr>
            <w:tcW w:w="1860" w:type="dxa"/>
            <w:tcBorders>
              <w:top w:val="nil"/>
              <w:left w:val="single" w:sz="8" w:space="0" w:color="auto"/>
              <w:bottom w:val="single" w:sz="4" w:space="0" w:color="auto"/>
              <w:right w:val="single" w:sz="8" w:space="0" w:color="auto"/>
            </w:tcBorders>
            <w:shd w:val="clear" w:color="000000" w:fill="FFFFFF"/>
            <w:noWrap/>
            <w:vAlign w:val="bottom"/>
            <w:hideMark/>
          </w:tcPr>
          <w:p w:rsidR="00FF2AB3" w:rsidRPr="00FC1786" w:rsidRDefault="00FF2AB3" w:rsidP="00FF2AB3">
            <w:pPr>
              <w:spacing w:line="240" w:lineRule="auto"/>
              <w:rPr>
                <w:rFonts w:eastAsia="Times New Roman"/>
                <w:color w:val="000000"/>
                <w:sz w:val="18"/>
                <w:szCs w:val="18"/>
                <w:lang w:eastAsia="el-GR"/>
              </w:rPr>
            </w:pPr>
            <w:r w:rsidRPr="00FC1786">
              <w:rPr>
                <w:rFonts w:eastAsia="Times New Roman"/>
                <w:color w:val="000000"/>
                <w:sz w:val="18"/>
                <w:szCs w:val="18"/>
                <w:lang w:eastAsia="el-GR"/>
              </w:rPr>
              <w:t>έως 31/12/2006</w:t>
            </w:r>
          </w:p>
        </w:tc>
        <w:tc>
          <w:tcPr>
            <w:tcW w:w="780" w:type="dxa"/>
            <w:tcBorders>
              <w:top w:val="nil"/>
              <w:left w:val="nil"/>
              <w:bottom w:val="single" w:sz="4" w:space="0" w:color="auto"/>
              <w:right w:val="single" w:sz="4" w:space="0" w:color="auto"/>
            </w:tcBorders>
            <w:shd w:val="clear" w:color="000000" w:fill="FFFFFF"/>
            <w:noWrap/>
            <w:vAlign w:val="bottom"/>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107</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87</w:t>
            </w:r>
          </w:p>
        </w:tc>
        <w:tc>
          <w:tcPr>
            <w:tcW w:w="960" w:type="dxa"/>
            <w:tcBorders>
              <w:top w:val="nil"/>
              <w:left w:val="nil"/>
              <w:bottom w:val="single" w:sz="4"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107</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84</w:t>
            </w:r>
          </w:p>
        </w:tc>
        <w:tc>
          <w:tcPr>
            <w:tcW w:w="960" w:type="dxa"/>
            <w:tcBorders>
              <w:top w:val="nil"/>
              <w:left w:val="nil"/>
              <w:bottom w:val="single" w:sz="4" w:space="0" w:color="auto"/>
              <w:right w:val="single" w:sz="4"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102</w:t>
            </w:r>
          </w:p>
        </w:tc>
        <w:tc>
          <w:tcPr>
            <w:tcW w:w="960" w:type="dxa"/>
            <w:tcBorders>
              <w:top w:val="nil"/>
              <w:left w:val="nil"/>
              <w:bottom w:val="single" w:sz="4"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82</w:t>
            </w:r>
          </w:p>
        </w:tc>
      </w:tr>
      <w:tr w:rsidR="00FF2AB3" w:rsidRPr="00FC1786" w:rsidTr="00FF2AB3">
        <w:trPr>
          <w:trHeight w:val="315"/>
        </w:trPr>
        <w:tc>
          <w:tcPr>
            <w:tcW w:w="18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F2AB3" w:rsidRPr="00FC1786" w:rsidRDefault="00FF2AB3" w:rsidP="00FF2AB3">
            <w:pPr>
              <w:spacing w:line="240" w:lineRule="auto"/>
              <w:rPr>
                <w:rFonts w:eastAsia="Times New Roman"/>
                <w:color w:val="000000"/>
                <w:sz w:val="18"/>
                <w:szCs w:val="18"/>
                <w:lang w:eastAsia="el-GR"/>
              </w:rPr>
            </w:pPr>
            <w:r w:rsidRPr="00FC1786">
              <w:rPr>
                <w:rFonts w:eastAsia="Times New Roman"/>
                <w:color w:val="000000"/>
                <w:sz w:val="18"/>
                <w:szCs w:val="18"/>
                <w:lang w:eastAsia="el-GR"/>
              </w:rPr>
              <w:t>από 01/01/2007</w:t>
            </w:r>
          </w:p>
        </w:tc>
        <w:tc>
          <w:tcPr>
            <w:tcW w:w="780" w:type="dxa"/>
            <w:tcBorders>
              <w:top w:val="nil"/>
              <w:left w:val="nil"/>
              <w:bottom w:val="single" w:sz="8" w:space="0" w:color="auto"/>
              <w:right w:val="single" w:sz="4" w:space="0" w:color="auto"/>
            </w:tcBorders>
            <w:shd w:val="clear" w:color="auto" w:fill="auto"/>
            <w:noWrap/>
            <w:vAlign w:val="bottom"/>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107</w:t>
            </w:r>
          </w:p>
        </w:tc>
        <w:tc>
          <w:tcPr>
            <w:tcW w:w="960" w:type="dxa"/>
            <w:tcBorders>
              <w:top w:val="nil"/>
              <w:left w:val="nil"/>
              <w:bottom w:val="single" w:sz="8" w:space="0" w:color="auto"/>
              <w:right w:val="single" w:sz="8" w:space="0" w:color="auto"/>
            </w:tcBorders>
            <w:shd w:val="clear" w:color="000000" w:fill="FFFFFF"/>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89</w:t>
            </w:r>
          </w:p>
        </w:tc>
        <w:tc>
          <w:tcPr>
            <w:tcW w:w="96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107</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87</w:t>
            </w:r>
          </w:p>
        </w:tc>
        <w:tc>
          <w:tcPr>
            <w:tcW w:w="960" w:type="dxa"/>
            <w:tcBorders>
              <w:top w:val="nil"/>
              <w:left w:val="nil"/>
              <w:bottom w:val="single" w:sz="8" w:space="0" w:color="auto"/>
              <w:right w:val="single" w:sz="4"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102</w:t>
            </w:r>
          </w:p>
        </w:tc>
        <w:tc>
          <w:tcPr>
            <w:tcW w:w="960" w:type="dxa"/>
            <w:tcBorders>
              <w:top w:val="nil"/>
              <w:left w:val="nil"/>
              <w:bottom w:val="single" w:sz="8" w:space="0" w:color="auto"/>
              <w:right w:val="single" w:sz="8" w:space="0" w:color="auto"/>
            </w:tcBorders>
            <w:shd w:val="clear" w:color="auto" w:fill="auto"/>
            <w:noWrap/>
            <w:vAlign w:val="center"/>
            <w:hideMark/>
          </w:tcPr>
          <w:p w:rsidR="00FF2AB3" w:rsidRPr="00FC1786" w:rsidRDefault="00FF2AB3" w:rsidP="00FF2AB3">
            <w:pPr>
              <w:spacing w:line="240" w:lineRule="auto"/>
              <w:jc w:val="center"/>
              <w:rPr>
                <w:rFonts w:eastAsia="Times New Roman"/>
                <w:color w:val="000000"/>
                <w:sz w:val="18"/>
                <w:szCs w:val="18"/>
                <w:lang w:eastAsia="el-GR"/>
              </w:rPr>
            </w:pPr>
            <w:r w:rsidRPr="00FC1786">
              <w:rPr>
                <w:rFonts w:eastAsia="Times New Roman"/>
                <w:color w:val="000000"/>
                <w:sz w:val="18"/>
                <w:szCs w:val="18"/>
                <w:lang w:eastAsia="el-GR"/>
              </w:rPr>
              <w:t>84</w:t>
            </w:r>
          </w:p>
        </w:tc>
      </w:tr>
    </w:tbl>
    <w:p w:rsidR="00FF2AB3" w:rsidRDefault="00FF2AB3" w:rsidP="00FF2AB3">
      <w:pPr>
        <w:tabs>
          <w:tab w:val="left" w:pos="1911"/>
        </w:tabs>
        <w:jc w:val="center"/>
        <w:rPr>
          <w:noProof/>
          <w:highlight w:val="yellow"/>
          <w:lang w:eastAsia="el-GR"/>
        </w:rPr>
      </w:pPr>
    </w:p>
    <w:p w:rsidR="00FF2AB3" w:rsidRDefault="00FF2AB3" w:rsidP="00FF2AB3">
      <w:pPr>
        <w:tabs>
          <w:tab w:val="left" w:pos="1911"/>
        </w:tabs>
        <w:jc w:val="left"/>
      </w:pPr>
      <w:r>
        <w:t xml:space="preserve">δ. Τιμολόγηση </w:t>
      </w:r>
      <w:r w:rsidRPr="00A06551">
        <w:t>(€/</w:t>
      </w:r>
      <w:proofErr w:type="spellStart"/>
      <w:r w:rsidRPr="00A06551">
        <w:t>MW</w:t>
      </w:r>
      <w:proofErr w:type="spellEnd"/>
      <w:r w:rsidRPr="00A06551">
        <w:t xml:space="preserve">h) ηλεκτρικής ενέργειας από </w:t>
      </w:r>
      <w:r>
        <w:t xml:space="preserve">μονάδες </w:t>
      </w:r>
      <w:proofErr w:type="spellStart"/>
      <w:r>
        <w:t>ΣΗΘΥΑ</w:t>
      </w:r>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41"/>
        <w:gridCol w:w="1085"/>
      </w:tblGrid>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Pr="00CB1B45" w:rsidRDefault="00FF2AB3" w:rsidP="00FF2AB3">
            <w:pPr>
              <w:rPr>
                <w:rFonts w:ascii="Verdana" w:hAnsi="Verdana"/>
                <w:sz w:val="18"/>
                <w:szCs w:val="18"/>
              </w:rPr>
            </w:pPr>
          </w:p>
        </w:tc>
        <w:tc>
          <w:tcPr>
            <w:tcW w:w="1041" w:type="dxa"/>
            <w:tcBorders>
              <w:top w:val="single" w:sz="4" w:space="0" w:color="auto"/>
              <w:left w:val="single" w:sz="4" w:space="0" w:color="auto"/>
              <w:bottom w:val="single" w:sz="4" w:space="0" w:color="auto"/>
              <w:right w:val="single" w:sz="4" w:space="0" w:color="auto"/>
            </w:tcBorders>
            <w:vAlign w:val="bottom"/>
          </w:tcPr>
          <w:p w:rsidR="00FF2AB3" w:rsidRPr="00974971" w:rsidRDefault="00FF2AB3" w:rsidP="00FF2AB3">
            <w:pPr>
              <w:jc w:val="center"/>
              <w:rPr>
                <w:rFonts w:ascii="Verdana" w:hAnsi="Verdana"/>
                <w:sz w:val="18"/>
                <w:szCs w:val="18"/>
                <w:lang w:val="en-US"/>
              </w:rPr>
            </w:pPr>
            <w:r>
              <w:rPr>
                <w:lang w:val="en-US"/>
              </w:rPr>
              <w:t>ME</w:t>
            </w:r>
          </w:p>
        </w:tc>
        <w:tc>
          <w:tcPr>
            <w:tcW w:w="1085" w:type="dxa"/>
            <w:tcBorders>
              <w:top w:val="single" w:sz="4" w:space="0" w:color="auto"/>
              <w:left w:val="single" w:sz="4" w:space="0" w:color="auto"/>
              <w:bottom w:val="single" w:sz="4" w:space="0" w:color="auto"/>
              <w:right w:val="single" w:sz="4" w:space="0" w:color="auto"/>
            </w:tcBorders>
            <w:vAlign w:val="bottom"/>
          </w:tcPr>
          <w:p w:rsidR="00FF2AB3" w:rsidRPr="00974971" w:rsidRDefault="00FF2AB3" w:rsidP="00FF2AB3">
            <w:pPr>
              <w:jc w:val="center"/>
              <w:rPr>
                <w:rFonts w:ascii="Verdana" w:hAnsi="Verdana"/>
                <w:sz w:val="18"/>
                <w:szCs w:val="18"/>
                <w:lang w:val="en-US"/>
              </w:rPr>
            </w:pPr>
            <w:proofErr w:type="spellStart"/>
            <w:r>
              <w:rPr>
                <w:lang w:val="en-US"/>
              </w:rPr>
              <w:t>XE</w:t>
            </w:r>
            <w:proofErr w:type="spellEnd"/>
          </w:p>
        </w:tc>
      </w:tr>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rPr>
                <w:rFonts w:asciiTheme="minorHAnsi" w:hAnsiTheme="minorHAnsi"/>
                <w:sz w:val="20"/>
                <w:szCs w:val="20"/>
              </w:rPr>
            </w:pPr>
            <w:proofErr w:type="spellStart"/>
            <w:r w:rsidRPr="00974971">
              <w:rPr>
                <w:rFonts w:asciiTheme="minorHAnsi" w:hAnsiTheme="minorHAnsi"/>
                <w:sz w:val="20"/>
                <w:szCs w:val="20"/>
              </w:rPr>
              <w:t>ΣΗΘΥΑ</w:t>
            </w:r>
            <w:proofErr w:type="spellEnd"/>
            <w:r w:rsidRPr="00974971">
              <w:rPr>
                <w:rFonts w:asciiTheme="minorHAnsi" w:hAnsiTheme="minorHAnsi"/>
                <w:sz w:val="20"/>
                <w:szCs w:val="20"/>
              </w:rPr>
              <w:t xml:space="preserve"> με χρήση Φυσικού Αερίου ≤ 1 M</w:t>
            </w:r>
            <w:r w:rsidRPr="00974971">
              <w:rPr>
                <w:rFonts w:asciiTheme="minorHAnsi" w:hAnsiTheme="minorHAnsi"/>
                <w:sz w:val="20"/>
                <w:szCs w:val="20"/>
                <w:lang w:val="en-US"/>
              </w:rPr>
              <w:t>W</w:t>
            </w:r>
            <w:r w:rsidRPr="00974971">
              <w:rPr>
                <w:rFonts w:asciiTheme="minorHAnsi" w:hAnsiTheme="minorHAnsi"/>
                <w:sz w:val="20"/>
                <w:szCs w:val="20"/>
              </w:rPr>
              <w:t xml:space="preserve"> κατηγορίες (α) ή (γ) </w:t>
            </w:r>
          </w:p>
        </w:tc>
        <w:tc>
          <w:tcPr>
            <w:tcW w:w="104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95 + </w:t>
            </w:r>
            <w:proofErr w:type="spellStart"/>
            <w:r w:rsidRPr="00974971">
              <w:rPr>
                <w:rFonts w:asciiTheme="minorHAnsi" w:hAnsiTheme="minorHAnsi"/>
                <w:sz w:val="20"/>
                <w:szCs w:val="20"/>
              </w:rPr>
              <w:t>ΣΡ</w:t>
            </w:r>
            <w:proofErr w:type="spellEnd"/>
          </w:p>
        </w:tc>
        <w:tc>
          <w:tcPr>
            <w:tcW w:w="1085" w:type="dxa"/>
            <w:tcBorders>
              <w:top w:val="single" w:sz="4" w:space="0" w:color="auto"/>
              <w:left w:val="single" w:sz="4" w:space="0" w:color="auto"/>
              <w:bottom w:val="single" w:sz="4" w:space="0" w:color="auto"/>
              <w:right w:val="single" w:sz="4" w:space="0" w:color="auto"/>
            </w:tcBorders>
            <w:vAlign w:val="bottom"/>
          </w:tcPr>
          <w:p w:rsidR="00FF2AB3" w:rsidRPr="00974971" w:rsidRDefault="00FF2AB3" w:rsidP="00FF2AB3">
            <w:pPr>
              <w:jc w:val="center"/>
              <w:rPr>
                <w:rFonts w:asciiTheme="minorHAnsi" w:hAnsiTheme="minorHAnsi"/>
                <w:sz w:val="20"/>
                <w:szCs w:val="20"/>
              </w:rPr>
            </w:pPr>
            <w:r w:rsidRPr="00974971">
              <w:rPr>
                <w:rFonts w:asciiTheme="minorHAnsi" w:hAnsiTheme="minorHAnsi"/>
                <w:sz w:val="20"/>
                <w:szCs w:val="20"/>
              </w:rPr>
              <w:t xml:space="preserve">80 + </w:t>
            </w:r>
            <w:proofErr w:type="spellStart"/>
            <w:r w:rsidRPr="00974971">
              <w:rPr>
                <w:rFonts w:asciiTheme="minorHAnsi" w:hAnsiTheme="minorHAnsi"/>
                <w:sz w:val="20"/>
                <w:szCs w:val="20"/>
              </w:rPr>
              <w:t>ΣΡ</w:t>
            </w:r>
            <w:proofErr w:type="spellEnd"/>
          </w:p>
        </w:tc>
      </w:tr>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rPr>
                <w:rFonts w:asciiTheme="minorHAnsi" w:hAnsiTheme="minorHAnsi"/>
                <w:sz w:val="20"/>
                <w:szCs w:val="20"/>
              </w:rPr>
            </w:pPr>
            <w:proofErr w:type="spellStart"/>
            <w:r w:rsidRPr="00974971">
              <w:rPr>
                <w:rFonts w:asciiTheme="minorHAnsi" w:hAnsiTheme="minorHAnsi"/>
                <w:sz w:val="20"/>
                <w:szCs w:val="20"/>
              </w:rPr>
              <w:t>ΣΗΘΥΑ</w:t>
            </w:r>
            <w:proofErr w:type="spellEnd"/>
            <w:r w:rsidRPr="00974971">
              <w:rPr>
                <w:rFonts w:asciiTheme="minorHAnsi" w:hAnsiTheme="minorHAnsi"/>
                <w:sz w:val="20"/>
                <w:szCs w:val="20"/>
              </w:rPr>
              <w:t xml:space="preserve"> με χρήση Φυσικού Αερίου ≤ 1 M</w:t>
            </w:r>
            <w:r w:rsidRPr="00974971">
              <w:rPr>
                <w:rFonts w:asciiTheme="minorHAnsi" w:hAnsiTheme="minorHAnsi"/>
                <w:sz w:val="20"/>
                <w:szCs w:val="20"/>
                <w:lang w:val="en-US"/>
              </w:rPr>
              <w:t>W</w:t>
            </w:r>
            <w:r w:rsidRPr="00974971">
              <w:rPr>
                <w:rFonts w:asciiTheme="minorHAnsi" w:hAnsiTheme="minorHAnsi"/>
                <w:sz w:val="20"/>
                <w:szCs w:val="20"/>
              </w:rPr>
              <w:t xml:space="preserve"> λοιπών κατηγοριών </w:t>
            </w:r>
          </w:p>
        </w:tc>
        <w:tc>
          <w:tcPr>
            <w:tcW w:w="104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100 + </w:t>
            </w:r>
            <w:proofErr w:type="spellStart"/>
            <w:r w:rsidRPr="00974971">
              <w:rPr>
                <w:rFonts w:asciiTheme="minorHAnsi" w:hAnsiTheme="minorHAnsi"/>
                <w:sz w:val="20"/>
                <w:szCs w:val="20"/>
              </w:rPr>
              <w:t>ΣΡ</w:t>
            </w:r>
            <w:proofErr w:type="spellEnd"/>
          </w:p>
        </w:tc>
        <w:tc>
          <w:tcPr>
            <w:tcW w:w="1085"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85 + </w:t>
            </w:r>
            <w:proofErr w:type="spellStart"/>
            <w:r w:rsidRPr="00974971">
              <w:rPr>
                <w:rFonts w:asciiTheme="minorHAnsi" w:hAnsiTheme="minorHAnsi"/>
                <w:sz w:val="20"/>
                <w:szCs w:val="20"/>
              </w:rPr>
              <w:t>ΣΡ</w:t>
            </w:r>
            <w:proofErr w:type="spellEnd"/>
          </w:p>
        </w:tc>
      </w:tr>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rPr>
                <w:rFonts w:asciiTheme="minorHAnsi" w:hAnsiTheme="minorHAnsi"/>
                <w:sz w:val="20"/>
                <w:szCs w:val="20"/>
              </w:rPr>
            </w:pPr>
            <w:proofErr w:type="spellStart"/>
            <w:r w:rsidRPr="00974971">
              <w:rPr>
                <w:rFonts w:asciiTheme="minorHAnsi" w:hAnsiTheme="minorHAnsi"/>
                <w:sz w:val="20"/>
                <w:szCs w:val="20"/>
              </w:rPr>
              <w:t>ΣΗΘΥΑ</w:t>
            </w:r>
            <w:proofErr w:type="spellEnd"/>
            <w:r w:rsidRPr="00974971">
              <w:rPr>
                <w:rFonts w:asciiTheme="minorHAnsi" w:hAnsiTheme="minorHAnsi"/>
                <w:sz w:val="20"/>
                <w:szCs w:val="20"/>
              </w:rPr>
              <w:t xml:space="preserve">  με χρήση Φυσικού Αερίου &gt; 1 M</w:t>
            </w:r>
            <w:r w:rsidRPr="00974971">
              <w:rPr>
                <w:rFonts w:asciiTheme="minorHAnsi" w:hAnsiTheme="minorHAnsi"/>
                <w:sz w:val="20"/>
                <w:szCs w:val="20"/>
                <w:lang w:val="en-US"/>
              </w:rPr>
              <w:t>W</w:t>
            </w:r>
            <w:r w:rsidRPr="00974971">
              <w:rPr>
                <w:rFonts w:asciiTheme="minorHAnsi" w:hAnsiTheme="minorHAnsi"/>
                <w:sz w:val="20"/>
                <w:szCs w:val="20"/>
              </w:rPr>
              <w:t xml:space="preserve"> και ≤ 35 M</w:t>
            </w:r>
            <w:r w:rsidRPr="00974971">
              <w:rPr>
                <w:rFonts w:asciiTheme="minorHAnsi" w:hAnsiTheme="minorHAnsi"/>
                <w:sz w:val="20"/>
                <w:szCs w:val="20"/>
                <w:lang w:val="en-US"/>
              </w:rPr>
              <w:t>W</w:t>
            </w:r>
            <w:r w:rsidRPr="00974971">
              <w:rPr>
                <w:rFonts w:asciiTheme="minorHAnsi" w:hAnsiTheme="minorHAnsi"/>
                <w:sz w:val="20"/>
                <w:szCs w:val="20"/>
              </w:rPr>
              <w:t xml:space="preserve">  κατηγορίες (α) ή (γ) </w:t>
            </w:r>
          </w:p>
        </w:tc>
        <w:tc>
          <w:tcPr>
            <w:tcW w:w="104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85 + </w:t>
            </w:r>
            <w:proofErr w:type="spellStart"/>
            <w:r w:rsidRPr="00974971">
              <w:rPr>
                <w:rFonts w:asciiTheme="minorHAnsi" w:hAnsiTheme="minorHAnsi"/>
                <w:sz w:val="20"/>
                <w:szCs w:val="20"/>
              </w:rPr>
              <w:t>ΣΡ</w:t>
            </w:r>
            <w:proofErr w:type="spellEnd"/>
          </w:p>
        </w:tc>
        <w:tc>
          <w:tcPr>
            <w:tcW w:w="1085"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75 + </w:t>
            </w:r>
            <w:proofErr w:type="spellStart"/>
            <w:r w:rsidRPr="00974971">
              <w:rPr>
                <w:rFonts w:asciiTheme="minorHAnsi" w:hAnsiTheme="minorHAnsi"/>
                <w:sz w:val="20"/>
                <w:szCs w:val="20"/>
              </w:rPr>
              <w:t>ΣΡ</w:t>
            </w:r>
            <w:proofErr w:type="spellEnd"/>
          </w:p>
        </w:tc>
      </w:tr>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rPr>
                <w:rFonts w:asciiTheme="minorHAnsi" w:hAnsiTheme="minorHAnsi"/>
                <w:sz w:val="20"/>
                <w:szCs w:val="20"/>
              </w:rPr>
            </w:pPr>
            <w:proofErr w:type="spellStart"/>
            <w:r w:rsidRPr="00974971">
              <w:rPr>
                <w:rFonts w:asciiTheme="minorHAnsi" w:hAnsiTheme="minorHAnsi"/>
                <w:sz w:val="20"/>
                <w:szCs w:val="20"/>
              </w:rPr>
              <w:t>ΣΗΘΥΑ</w:t>
            </w:r>
            <w:proofErr w:type="spellEnd"/>
            <w:r w:rsidRPr="00974971">
              <w:rPr>
                <w:rFonts w:asciiTheme="minorHAnsi" w:hAnsiTheme="minorHAnsi"/>
                <w:sz w:val="20"/>
                <w:szCs w:val="20"/>
              </w:rPr>
              <w:t xml:space="preserve">  με χρήση Φυσικού Αερίου &gt; 1 M</w:t>
            </w:r>
            <w:r w:rsidRPr="00974971">
              <w:rPr>
                <w:rFonts w:asciiTheme="minorHAnsi" w:hAnsiTheme="minorHAnsi"/>
                <w:sz w:val="20"/>
                <w:szCs w:val="20"/>
                <w:lang w:val="en-US"/>
              </w:rPr>
              <w:t>W</w:t>
            </w:r>
            <w:r w:rsidRPr="00974971">
              <w:rPr>
                <w:rFonts w:asciiTheme="minorHAnsi" w:hAnsiTheme="minorHAnsi"/>
                <w:sz w:val="20"/>
                <w:szCs w:val="20"/>
              </w:rPr>
              <w:t xml:space="preserve"> και ≤ 35 M</w:t>
            </w:r>
            <w:r w:rsidRPr="00974971">
              <w:rPr>
                <w:rFonts w:asciiTheme="minorHAnsi" w:hAnsiTheme="minorHAnsi"/>
                <w:sz w:val="20"/>
                <w:szCs w:val="20"/>
                <w:lang w:val="en-US"/>
              </w:rPr>
              <w:t>W</w:t>
            </w:r>
            <w:r w:rsidRPr="00974971">
              <w:rPr>
                <w:rFonts w:asciiTheme="minorHAnsi" w:hAnsiTheme="minorHAnsi"/>
                <w:sz w:val="20"/>
                <w:szCs w:val="20"/>
              </w:rPr>
              <w:t xml:space="preserve"> λοιπών κατηγοριών </w:t>
            </w:r>
          </w:p>
        </w:tc>
        <w:tc>
          <w:tcPr>
            <w:tcW w:w="104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90 + </w:t>
            </w:r>
            <w:proofErr w:type="spellStart"/>
            <w:r w:rsidRPr="00974971">
              <w:rPr>
                <w:rFonts w:asciiTheme="minorHAnsi" w:hAnsiTheme="minorHAnsi"/>
                <w:sz w:val="20"/>
                <w:szCs w:val="20"/>
              </w:rPr>
              <w:t>ΣΡ</w:t>
            </w:r>
            <w:proofErr w:type="spellEnd"/>
          </w:p>
        </w:tc>
        <w:tc>
          <w:tcPr>
            <w:tcW w:w="1085"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80 + </w:t>
            </w:r>
            <w:proofErr w:type="spellStart"/>
            <w:r w:rsidRPr="00974971">
              <w:rPr>
                <w:rFonts w:asciiTheme="minorHAnsi" w:hAnsiTheme="minorHAnsi"/>
                <w:sz w:val="20"/>
                <w:szCs w:val="20"/>
              </w:rPr>
              <w:t>ΣΡ</w:t>
            </w:r>
            <w:proofErr w:type="spellEnd"/>
          </w:p>
        </w:tc>
      </w:tr>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rPr>
                <w:rFonts w:asciiTheme="minorHAnsi" w:hAnsiTheme="minorHAnsi"/>
                <w:sz w:val="20"/>
                <w:szCs w:val="20"/>
              </w:rPr>
            </w:pPr>
            <w:proofErr w:type="spellStart"/>
            <w:r w:rsidRPr="00974971">
              <w:rPr>
                <w:rFonts w:asciiTheme="minorHAnsi" w:hAnsiTheme="minorHAnsi"/>
                <w:sz w:val="20"/>
                <w:szCs w:val="20"/>
              </w:rPr>
              <w:t>ΣΗΘΥΑ</w:t>
            </w:r>
            <w:proofErr w:type="spellEnd"/>
            <w:r w:rsidRPr="00974971">
              <w:rPr>
                <w:rFonts w:asciiTheme="minorHAnsi" w:hAnsiTheme="minorHAnsi"/>
                <w:sz w:val="20"/>
                <w:szCs w:val="20"/>
              </w:rPr>
              <w:t xml:space="preserve">  με χρήση Φυσικού Αερίου &gt; 35 M</w:t>
            </w:r>
            <w:r w:rsidRPr="00974971">
              <w:rPr>
                <w:rFonts w:asciiTheme="minorHAnsi" w:hAnsiTheme="minorHAnsi"/>
                <w:sz w:val="20"/>
                <w:szCs w:val="20"/>
                <w:lang w:val="en-US"/>
              </w:rPr>
              <w:t>W</w:t>
            </w:r>
            <w:r w:rsidRPr="00974971">
              <w:rPr>
                <w:rFonts w:asciiTheme="minorHAnsi" w:hAnsiTheme="minorHAnsi"/>
                <w:sz w:val="20"/>
                <w:szCs w:val="20"/>
              </w:rPr>
              <w:t xml:space="preserve">  κατηγορίες (α) ή (γ) </w:t>
            </w:r>
          </w:p>
        </w:tc>
        <w:tc>
          <w:tcPr>
            <w:tcW w:w="104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lang w:val="en-US"/>
              </w:rPr>
              <w:t>62</w:t>
            </w:r>
            <w:r w:rsidRPr="00974971">
              <w:rPr>
                <w:rFonts w:asciiTheme="minorHAnsi" w:hAnsiTheme="minorHAnsi"/>
                <w:sz w:val="20"/>
                <w:szCs w:val="20"/>
              </w:rPr>
              <w:t xml:space="preserve"> + </w:t>
            </w:r>
            <w:proofErr w:type="spellStart"/>
            <w:r w:rsidRPr="00974971">
              <w:rPr>
                <w:rFonts w:asciiTheme="minorHAnsi" w:hAnsiTheme="minorHAnsi"/>
                <w:sz w:val="20"/>
                <w:szCs w:val="20"/>
              </w:rPr>
              <w:t>ΣΡ</w:t>
            </w:r>
            <w:proofErr w:type="spellEnd"/>
          </w:p>
        </w:tc>
        <w:tc>
          <w:tcPr>
            <w:tcW w:w="1085"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lang w:val="en-US"/>
              </w:rPr>
              <w:t>57</w:t>
            </w:r>
            <w:r w:rsidRPr="00974971">
              <w:rPr>
                <w:rFonts w:asciiTheme="minorHAnsi" w:hAnsiTheme="minorHAnsi"/>
                <w:sz w:val="20"/>
                <w:szCs w:val="20"/>
              </w:rPr>
              <w:t xml:space="preserve"> + </w:t>
            </w:r>
            <w:proofErr w:type="spellStart"/>
            <w:r w:rsidRPr="00974971">
              <w:rPr>
                <w:rFonts w:asciiTheme="minorHAnsi" w:hAnsiTheme="minorHAnsi"/>
                <w:sz w:val="20"/>
                <w:szCs w:val="20"/>
              </w:rPr>
              <w:t>ΣΡ</w:t>
            </w:r>
            <w:proofErr w:type="spellEnd"/>
          </w:p>
        </w:tc>
      </w:tr>
      <w:tr w:rsidR="00FF2AB3" w:rsidRPr="00CB1B45" w:rsidTr="00FF2AB3">
        <w:tc>
          <w:tcPr>
            <w:tcW w:w="652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rPr>
                <w:rFonts w:asciiTheme="minorHAnsi" w:hAnsiTheme="minorHAnsi"/>
                <w:sz w:val="20"/>
                <w:szCs w:val="20"/>
              </w:rPr>
            </w:pPr>
            <w:proofErr w:type="spellStart"/>
            <w:r w:rsidRPr="00974971">
              <w:rPr>
                <w:rFonts w:asciiTheme="minorHAnsi" w:hAnsiTheme="minorHAnsi"/>
                <w:sz w:val="20"/>
                <w:szCs w:val="20"/>
              </w:rPr>
              <w:t>ΣΗΘΥΑ</w:t>
            </w:r>
            <w:proofErr w:type="spellEnd"/>
            <w:r w:rsidRPr="00974971">
              <w:rPr>
                <w:rFonts w:asciiTheme="minorHAnsi" w:hAnsiTheme="minorHAnsi"/>
                <w:sz w:val="20"/>
                <w:szCs w:val="20"/>
              </w:rPr>
              <w:t xml:space="preserve">  με χρήση Φυσικού Αερίου &gt; 35 M</w:t>
            </w:r>
            <w:r w:rsidRPr="00974971">
              <w:rPr>
                <w:rFonts w:asciiTheme="minorHAnsi" w:hAnsiTheme="minorHAnsi"/>
                <w:sz w:val="20"/>
                <w:szCs w:val="20"/>
                <w:lang w:val="en-US"/>
              </w:rPr>
              <w:t>W</w:t>
            </w:r>
            <w:r w:rsidRPr="00974971">
              <w:rPr>
                <w:rFonts w:asciiTheme="minorHAnsi" w:hAnsiTheme="minorHAnsi"/>
                <w:sz w:val="20"/>
                <w:szCs w:val="20"/>
              </w:rPr>
              <w:t xml:space="preserve">  λοιπών κατηγοριών </w:t>
            </w:r>
          </w:p>
        </w:tc>
        <w:tc>
          <w:tcPr>
            <w:tcW w:w="1041"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 xml:space="preserve">67 + </w:t>
            </w:r>
            <w:proofErr w:type="spellStart"/>
            <w:r w:rsidRPr="00974971">
              <w:rPr>
                <w:rFonts w:asciiTheme="minorHAnsi" w:hAnsiTheme="minorHAnsi"/>
                <w:sz w:val="20"/>
                <w:szCs w:val="20"/>
              </w:rPr>
              <w:t>ΣΡ</w:t>
            </w:r>
            <w:proofErr w:type="spellEnd"/>
          </w:p>
        </w:tc>
        <w:tc>
          <w:tcPr>
            <w:tcW w:w="1085" w:type="dxa"/>
            <w:tcBorders>
              <w:top w:val="single" w:sz="4" w:space="0" w:color="auto"/>
              <w:left w:val="single" w:sz="4" w:space="0" w:color="auto"/>
              <w:bottom w:val="single" w:sz="4" w:space="0" w:color="auto"/>
              <w:right w:val="single" w:sz="4" w:space="0" w:color="auto"/>
            </w:tcBorders>
            <w:vAlign w:val="bottom"/>
          </w:tcPr>
          <w:p w:rsidR="00FF2AB3" w:rsidRDefault="00FF2AB3" w:rsidP="00FF2AB3">
            <w:pPr>
              <w:jc w:val="center"/>
              <w:rPr>
                <w:rFonts w:asciiTheme="minorHAnsi" w:hAnsiTheme="minorHAnsi"/>
                <w:sz w:val="20"/>
                <w:szCs w:val="20"/>
              </w:rPr>
            </w:pPr>
            <w:r w:rsidRPr="00974971">
              <w:rPr>
                <w:rFonts w:asciiTheme="minorHAnsi" w:hAnsiTheme="minorHAnsi"/>
                <w:sz w:val="20"/>
                <w:szCs w:val="20"/>
              </w:rPr>
              <w:t>6</w:t>
            </w:r>
            <w:r w:rsidRPr="00974971">
              <w:rPr>
                <w:rFonts w:asciiTheme="minorHAnsi" w:hAnsiTheme="minorHAnsi"/>
                <w:sz w:val="20"/>
                <w:szCs w:val="20"/>
                <w:lang w:val="en-US"/>
              </w:rPr>
              <w:t>2</w:t>
            </w:r>
            <w:r w:rsidRPr="00974971">
              <w:rPr>
                <w:rFonts w:asciiTheme="minorHAnsi" w:hAnsiTheme="minorHAnsi"/>
                <w:sz w:val="20"/>
                <w:szCs w:val="20"/>
              </w:rPr>
              <w:t xml:space="preserve"> + </w:t>
            </w:r>
            <w:proofErr w:type="spellStart"/>
            <w:r w:rsidRPr="00974971">
              <w:rPr>
                <w:rFonts w:asciiTheme="minorHAnsi" w:hAnsiTheme="minorHAnsi"/>
                <w:sz w:val="20"/>
                <w:szCs w:val="20"/>
              </w:rPr>
              <w:t>ΣΡ</w:t>
            </w:r>
            <w:proofErr w:type="spellEnd"/>
          </w:p>
        </w:tc>
      </w:tr>
    </w:tbl>
    <w:p w:rsidR="00FF2AB3" w:rsidRPr="00CB1B45" w:rsidRDefault="00FF2AB3" w:rsidP="00FF2AB3">
      <w:pPr>
        <w:tabs>
          <w:tab w:val="left" w:pos="1911"/>
        </w:tabs>
      </w:pPr>
      <w:r w:rsidRPr="00CB1B45">
        <w:t xml:space="preserve">Οι κατηγορίες </w:t>
      </w:r>
      <w:proofErr w:type="spellStart"/>
      <w:r w:rsidRPr="00CB1B45">
        <w:t>ΣΗΘΥΑ</w:t>
      </w:r>
      <w:proofErr w:type="spellEnd"/>
      <w:r w:rsidRPr="00CB1B45">
        <w:t xml:space="preserve"> του ανωτέρω πίνακα προσδιορίζονται σύμφωνα με το άρθρο 3 της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w:t>
      </w:r>
      <w:proofErr w:type="spellStart"/>
      <w:r w:rsidRPr="00CB1B45">
        <w:t>οικ.15641</w:t>
      </w:r>
      <w:proofErr w:type="spellEnd"/>
      <w:r w:rsidRPr="00CB1B45">
        <w:t>/14.07.2009 (Β’ 1420):</w:t>
      </w:r>
    </w:p>
    <w:p w:rsidR="00FF2AB3" w:rsidRPr="00CB1B45" w:rsidRDefault="00FF2AB3" w:rsidP="00FF2AB3">
      <w:pPr>
        <w:tabs>
          <w:tab w:val="left" w:pos="1911"/>
        </w:tabs>
      </w:pPr>
      <w:r w:rsidRPr="00CB1B45">
        <w:t>(α) Συνδυασμένος κύκλος αεριοστρόβιλου με ανάκτηση θερμότητας</w:t>
      </w:r>
    </w:p>
    <w:p w:rsidR="00FF2AB3" w:rsidRPr="00CB1B45" w:rsidRDefault="00FF2AB3" w:rsidP="00FF2AB3">
      <w:pPr>
        <w:tabs>
          <w:tab w:val="left" w:pos="1911"/>
        </w:tabs>
      </w:pPr>
      <w:r w:rsidRPr="00CB1B45">
        <w:t xml:space="preserve">(β) Ατμοστρόβιλος </w:t>
      </w:r>
      <w:proofErr w:type="spellStart"/>
      <w:r w:rsidRPr="00CB1B45">
        <w:t>αντίθλ</w:t>
      </w:r>
      <w:r>
        <w:t>ι</w:t>
      </w:r>
      <w:r w:rsidRPr="00CB1B45">
        <w:t>ψης</w:t>
      </w:r>
      <w:proofErr w:type="spellEnd"/>
    </w:p>
    <w:p w:rsidR="00FF2AB3" w:rsidRPr="00CB1B45" w:rsidRDefault="00FF2AB3" w:rsidP="00FF2AB3">
      <w:pPr>
        <w:tabs>
          <w:tab w:val="left" w:pos="1911"/>
        </w:tabs>
      </w:pPr>
      <w:r w:rsidRPr="00CB1B45">
        <w:t xml:space="preserve">(γ) Ατμοστρόβιλος συμπύκνωσης – </w:t>
      </w:r>
      <w:proofErr w:type="spellStart"/>
      <w:r w:rsidRPr="00CB1B45">
        <w:t>απομάστευσης</w:t>
      </w:r>
      <w:proofErr w:type="spellEnd"/>
    </w:p>
    <w:p w:rsidR="00FF2AB3" w:rsidRPr="00CB1B45" w:rsidRDefault="00FF2AB3" w:rsidP="00FF2AB3">
      <w:pPr>
        <w:tabs>
          <w:tab w:val="left" w:pos="1911"/>
        </w:tabs>
      </w:pPr>
      <w:r w:rsidRPr="00CB1B45">
        <w:t>(δ) Αεριοστρόβιλος με ανάκτηση θερμότητας</w:t>
      </w:r>
    </w:p>
    <w:p w:rsidR="00FF2AB3" w:rsidRPr="00CB1B45" w:rsidRDefault="00FF2AB3" w:rsidP="00FF2AB3">
      <w:pPr>
        <w:tabs>
          <w:tab w:val="left" w:pos="1911"/>
        </w:tabs>
      </w:pPr>
      <w:r w:rsidRPr="00CB1B45">
        <w:t>(ε) Παλινδρομική μηχανή εσωτερικής καύσης</w:t>
      </w:r>
    </w:p>
    <w:p w:rsidR="00FF2AB3" w:rsidRPr="00CB1B45" w:rsidRDefault="00FF2AB3" w:rsidP="00FF2AB3">
      <w:pPr>
        <w:tabs>
          <w:tab w:val="left" w:pos="1911"/>
        </w:tabs>
      </w:pPr>
      <w:r w:rsidRPr="00CB1B45">
        <w:t xml:space="preserve">(στ) </w:t>
      </w:r>
      <w:proofErr w:type="spellStart"/>
      <w:r w:rsidRPr="00CB1B45">
        <w:t>Μικροστρόβιλος</w:t>
      </w:r>
      <w:proofErr w:type="spellEnd"/>
    </w:p>
    <w:p w:rsidR="00FF2AB3" w:rsidRPr="00CB1B45" w:rsidRDefault="00FF2AB3" w:rsidP="00FF2AB3">
      <w:pPr>
        <w:tabs>
          <w:tab w:val="left" w:pos="1911"/>
        </w:tabs>
      </w:pPr>
      <w:r>
        <w:t>(</w:t>
      </w:r>
      <w:r w:rsidRPr="00CB1B45">
        <w:t xml:space="preserve">ζ) Μηχανή  </w:t>
      </w:r>
      <w:proofErr w:type="spellStart"/>
      <w:r w:rsidRPr="00CB1B45">
        <w:rPr>
          <w:lang w:val="en-US"/>
        </w:rPr>
        <w:t>Stirling</w:t>
      </w:r>
      <w:proofErr w:type="spellEnd"/>
    </w:p>
    <w:p w:rsidR="00FF2AB3" w:rsidRPr="00CB1B45" w:rsidRDefault="00FF2AB3" w:rsidP="00FF2AB3">
      <w:pPr>
        <w:tabs>
          <w:tab w:val="left" w:pos="1911"/>
        </w:tabs>
      </w:pPr>
      <w:r>
        <w:t>(</w:t>
      </w:r>
      <w:r w:rsidRPr="00CB1B45">
        <w:t>η) Κυψέλη Καυσίμου</w:t>
      </w:r>
    </w:p>
    <w:p w:rsidR="00FF2AB3" w:rsidRPr="00CB1B45" w:rsidRDefault="00FF2AB3" w:rsidP="00FF2AB3">
      <w:pPr>
        <w:tabs>
          <w:tab w:val="left" w:pos="1911"/>
        </w:tabs>
      </w:pPr>
      <w:r>
        <w:t>(</w:t>
      </w:r>
      <w:r w:rsidRPr="00CB1B45">
        <w:t>θ) Ατμομηχανή</w:t>
      </w:r>
    </w:p>
    <w:p w:rsidR="00FF2AB3" w:rsidRPr="00CB1B45" w:rsidRDefault="00FF2AB3" w:rsidP="00FF2AB3">
      <w:pPr>
        <w:tabs>
          <w:tab w:val="left" w:pos="1911"/>
        </w:tabs>
      </w:pPr>
      <w:r>
        <w:t>(</w:t>
      </w:r>
      <w:r w:rsidRPr="00CB1B45">
        <w:t xml:space="preserve">ι) Οργανικός κύκλος  </w:t>
      </w:r>
      <w:proofErr w:type="spellStart"/>
      <w:r w:rsidRPr="00CB1B45">
        <w:rPr>
          <w:lang w:val="en-US"/>
        </w:rPr>
        <w:t>Rankine</w:t>
      </w:r>
      <w:proofErr w:type="spellEnd"/>
    </w:p>
    <w:p w:rsidR="00FF2AB3" w:rsidRPr="00CB1B45" w:rsidRDefault="00FF2AB3" w:rsidP="00FF2AB3">
      <w:pPr>
        <w:tabs>
          <w:tab w:val="left" w:pos="1911"/>
        </w:tabs>
      </w:pPr>
      <w:r w:rsidRPr="00CB1B45">
        <w:t>ια) Οποιοσδήποτε άλλος τύπος τεχνολογίας ή συνδυασμός τύπων τεχνολογιών που εμπίπτει στον ορισμό της συμπαραγωγής</w:t>
      </w:r>
    </w:p>
    <w:p w:rsidR="00FF2AB3" w:rsidRPr="00A06551" w:rsidRDefault="00FF2AB3" w:rsidP="00FF2AB3">
      <w:pPr>
        <w:tabs>
          <w:tab w:val="left" w:pos="1911"/>
        </w:tabs>
        <w:rPr>
          <w:highlight w:val="yellow"/>
        </w:rPr>
      </w:pPr>
    </w:p>
    <w:p w:rsidR="00FF2AB3" w:rsidRPr="00CB1B45" w:rsidRDefault="00FF2AB3" w:rsidP="00FF2AB3">
      <w:pPr>
        <w:tabs>
          <w:tab w:val="left" w:pos="1911"/>
        </w:tabs>
      </w:pPr>
      <w:r w:rsidRPr="00CB1B45">
        <w:t>Ο συντελεστής ρήτρας φυσικού αερίου (</w:t>
      </w:r>
      <w:proofErr w:type="spellStart"/>
      <w:r w:rsidRPr="00CB1B45">
        <w:t>ΣΡ</w:t>
      </w:r>
      <w:proofErr w:type="spellEnd"/>
      <w:r w:rsidRPr="00CB1B45">
        <w:t>) είναι μέγεθος που καλύπτει τις μεταβολές του κόστους του φυσικού αερίου και  υπολογίζεται όπως στη συνέχεια:</w:t>
      </w:r>
    </w:p>
    <w:p w:rsidR="00FF2AB3" w:rsidRPr="00CB1B45" w:rsidRDefault="00FF2AB3" w:rsidP="00FF2AB3">
      <w:pPr>
        <w:tabs>
          <w:tab w:val="left" w:pos="1911"/>
        </w:tabs>
        <w:rPr>
          <w:lang w:val="en-US"/>
        </w:rPr>
      </w:pPr>
      <w:r w:rsidRPr="00CB1B45">
        <w:t>Σ</w:t>
      </w:r>
      <w:r w:rsidRPr="00CB1B45">
        <w:rPr>
          <w:lang w:val="en-US"/>
        </w:rPr>
        <w:t>P = (((1-((n-ne)/</w:t>
      </w:r>
      <w:proofErr w:type="spellStart"/>
      <w:r w:rsidRPr="00CB1B45">
        <w:rPr>
          <w:lang w:val="en-US"/>
        </w:rPr>
        <w:t>nhr</w:t>
      </w:r>
      <w:proofErr w:type="spellEnd"/>
      <w:r w:rsidRPr="00CB1B45">
        <w:rPr>
          <w:lang w:val="en-US"/>
        </w:rPr>
        <w:t>))/ne))x(</w:t>
      </w:r>
      <w:proofErr w:type="spellStart"/>
      <w:r w:rsidRPr="00CB1B45">
        <w:t>ΜΤΦΑ</w:t>
      </w:r>
      <w:proofErr w:type="spellEnd"/>
      <w:r w:rsidRPr="00CB1B45">
        <w:rPr>
          <w:lang w:val="en-US"/>
        </w:rPr>
        <w:t xml:space="preserve">t-26) </w:t>
      </w:r>
    </w:p>
    <w:p w:rsidR="00FF2AB3" w:rsidRPr="00CB1B45" w:rsidRDefault="00FF2AB3" w:rsidP="00FF2AB3">
      <w:pPr>
        <w:tabs>
          <w:tab w:val="left" w:pos="1911"/>
        </w:tabs>
      </w:pPr>
      <w:r w:rsidRPr="00CB1B45">
        <w:t>Όπου</w:t>
      </w:r>
    </w:p>
    <w:p w:rsidR="00FF2AB3" w:rsidRPr="00CB1B45" w:rsidRDefault="00FF2AB3" w:rsidP="00FF2AB3">
      <w:pPr>
        <w:tabs>
          <w:tab w:val="left" w:pos="1911"/>
        </w:tabs>
      </w:pPr>
      <w:proofErr w:type="gramStart"/>
      <w:r w:rsidRPr="00CB1B45">
        <w:rPr>
          <w:lang w:val="en-US"/>
        </w:rPr>
        <w:t>ne</w:t>
      </w:r>
      <w:proofErr w:type="gramEnd"/>
      <w:r w:rsidRPr="00CB1B45">
        <w:t xml:space="preserve">: Ηλεκτρικός βαθμός απόδοσης μονάδας συμπαραγωγή, όπως </w:t>
      </w:r>
      <w:r>
        <w:t xml:space="preserve">ορίζεται στην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/749/21.03.2012 (</w:t>
      </w:r>
      <w:r w:rsidRPr="00CB1B45">
        <w:rPr>
          <w:lang w:val="en-US"/>
        </w:rPr>
        <w:t>B</w:t>
      </w:r>
      <w:r w:rsidRPr="00CB1B45">
        <w:t>’ 889)</w:t>
      </w:r>
    </w:p>
    <w:p w:rsidR="00FF2AB3" w:rsidRPr="00CB1B45" w:rsidRDefault="00FF2AB3" w:rsidP="00FF2AB3">
      <w:pPr>
        <w:tabs>
          <w:tab w:val="left" w:pos="1911"/>
        </w:tabs>
      </w:pPr>
      <w:proofErr w:type="spellStart"/>
      <w:proofErr w:type="gramStart"/>
      <w:r w:rsidRPr="00CB1B45">
        <w:rPr>
          <w:lang w:val="en-US"/>
        </w:rPr>
        <w:t>nh</w:t>
      </w:r>
      <w:proofErr w:type="spellEnd"/>
      <w:proofErr w:type="gramEnd"/>
      <w:r w:rsidRPr="00CB1B45">
        <w:t xml:space="preserve">: Θερμικός βαθμός απόδοσης μονάδας συμπαραγωγής, όπως </w:t>
      </w:r>
      <w:r>
        <w:t xml:space="preserve">ορίζεται στην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/749/21.03.2012 (</w:t>
      </w:r>
      <w:r w:rsidRPr="00CB1B45">
        <w:rPr>
          <w:lang w:val="en-US"/>
        </w:rPr>
        <w:t>B</w:t>
      </w:r>
      <w:r w:rsidRPr="00CB1B45">
        <w:t>’ 889)</w:t>
      </w:r>
    </w:p>
    <w:p w:rsidR="00FF2AB3" w:rsidRPr="00CB1B45" w:rsidRDefault="00FF2AB3" w:rsidP="00FF2AB3">
      <w:pPr>
        <w:tabs>
          <w:tab w:val="left" w:pos="1911"/>
        </w:tabs>
      </w:pPr>
      <w:r w:rsidRPr="00CB1B45">
        <w:rPr>
          <w:lang w:val="en-US"/>
        </w:rPr>
        <w:t>n</w:t>
      </w:r>
      <w:r w:rsidRPr="00CB1B45">
        <w:t xml:space="preserve"> = </w:t>
      </w:r>
      <w:r w:rsidRPr="00CB1B45">
        <w:rPr>
          <w:lang w:val="en-US"/>
        </w:rPr>
        <w:t>ne</w:t>
      </w:r>
      <w:r w:rsidRPr="00CB1B45">
        <w:t xml:space="preserve"> + </w:t>
      </w:r>
      <w:proofErr w:type="spellStart"/>
      <w:proofErr w:type="gramStart"/>
      <w:r w:rsidRPr="00CB1B45">
        <w:rPr>
          <w:lang w:val="en-US"/>
        </w:rPr>
        <w:t>nh</w:t>
      </w:r>
      <w:proofErr w:type="spellEnd"/>
      <w:r w:rsidRPr="00CB1B45">
        <w:t xml:space="preserve"> :</w:t>
      </w:r>
      <w:proofErr w:type="gramEnd"/>
      <w:r w:rsidRPr="00CB1B45">
        <w:t xml:space="preserve"> Ολικός βαθμός απόδοσης μονάδας συμπαραγωγής </w:t>
      </w:r>
    </w:p>
    <w:p w:rsidR="00FF2AB3" w:rsidRPr="00CB1B45" w:rsidRDefault="00FF2AB3" w:rsidP="00FF2AB3">
      <w:pPr>
        <w:tabs>
          <w:tab w:val="left" w:pos="1911"/>
        </w:tabs>
      </w:pPr>
      <w:proofErr w:type="spellStart"/>
      <w:proofErr w:type="gramStart"/>
      <w:r w:rsidRPr="00CB1B45">
        <w:rPr>
          <w:lang w:val="en-US"/>
        </w:rPr>
        <w:t>nhr</w:t>
      </w:r>
      <w:proofErr w:type="spellEnd"/>
      <w:proofErr w:type="gramEnd"/>
      <w:r w:rsidRPr="00CB1B45">
        <w:t xml:space="preserve">:  είναι η τιμή αναφοράς του βαθμού απόδοσης για τη χωριστή παραγωγή θερμικής ενέργειας, όπως </w:t>
      </w:r>
      <w:r>
        <w:t xml:space="preserve">ορίζεται στην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/749/21.03.2012 (</w:t>
      </w:r>
      <w:r w:rsidRPr="00CB1B45">
        <w:rPr>
          <w:lang w:val="en-US"/>
        </w:rPr>
        <w:t>B</w:t>
      </w:r>
      <w:r w:rsidRPr="00CB1B45">
        <w:t>’ 889)</w:t>
      </w:r>
    </w:p>
    <w:p w:rsidR="00FF2AB3" w:rsidRPr="00CB1B45" w:rsidRDefault="00FF2AB3" w:rsidP="00FF2AB3">
      <w:pPr>
        <w:tabs>
          <w:tab w:val="left" w:pos="1911"/>
        </w:tabs>
      </w:pPr>
      <w:r w:rsidRPr="00CB1B45">
        <w:t>όπου οι βαθμοί απόδοσης σε Ανώτερη Θερμογόνο Δύναμη (</w:t>
      </w:r>
      <w:proofErr w:type="spellStart"/>
      <w:r w:rsidRPr="00CB1B45">
        <w:t>ΑΘΔ</w:t>
      </w:r>
      <w:proofErr w:type="spellEnd"/>
      <w:r w:rsidRPr="00CB1B45">
        <w:t xml:space="preserve">) όπως στον </w:t>
      </w:r>
      <w:r>
        <w:t xml:space="preserve">κατωτέρω </w:t>
      </w:r>
      <w:r w:rsidRPr="00CB1B45">
        <w:t xml:space="preserve">πίνακα </w:t>
      </w:r>
      <w:r>
        <w:t>Β.</w:t>
      </w:r>
    </w:p>
    <w:p w:rsidR="00FF2AB3" w:rsidRPr="00CB1B45" w:rsidRDefault="00FF2AB3" w:rsidP="00FF2AB3">
      <w:pPr>
        <w:tabs>
          <w:tab w:val="left" w:pos="1911"/>
        </w:tabs>
      </w:pPr>
      <w:r w:rsidRPr="00CB1B45">
        <w:t>Πίνακας Β</w:t>
      </w:r>
    </w:p>
    <w:tbl>
      <w:tblPr>
        <w:tblW w:w="8649" w:type="dxa"/>
        <w:tblLayout w:type="fixed"/>
        <w:tblCellMar>
          <w:left w:w="0" w:type="dxa"/>
          <w:right w:w="0" w:type="dxa"/>
        </w:tblCellMar>
        <w:tblLook w:val="00A0" w:firstRow="1" w:lastRow="0" w:firstColumn="1" w:lastColumn="0" w:noHBand="0" w:noVBand="0"/>
      </w:tblPr>
      <w:tblGrid>
        <w:gridCol w:w="5814"/>
        <w:gridCol w:w="2835"/>
      </w:tblGrid>
      <w:tr w:rsidR="00FF2AB3" w:rsidRPr="00CB1B45" w:rsidTr="00FF2AB3">
        <w:trPr>
          <w:trHeight w:val="331"/>
        </w:trPr>
        <w:tc>
          <w:tcPr>
            <w:tcW w:w="58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F2AB3" w:rsidRPr="00CB1B45" w:rsidRDefault="00FF2AB3" w:rsidP="00FF2AB3">
            <w:pPr>
              <w:spacing w:after="60"/>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 1 </w:t>
            </w:r>
            <w:r w:rsidRPr="00CB1B45">
              <w:rPr>
                <w:sz w:val="20"/>
                <w:szCs w:val="20"/>
                <w:lang w:val="en-US"/>
              </w:rPr>
              <w:t>Mw</w:t>
            </w:r>
            <w:r w:rsidRPr="00CB1B45">
              <w:rPr>
                <w:sz w:val="20"/>
                <w:szCs w:val="20"/>
              </w:rPr>
              <w:t xml:space="preserve"> κατηγορίες (α) ή (γ)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CB1B45" w:rsidRDefault="00FF2AB3" w:rsidP="00FF2AB3">
            <w:pPr>
              <w:spacing w:after="60"/>
              <w:jc w:val="center"/>
              <w:rPr>
                <w:sz w:val="20"/>
                <w:szCs w:val="20"/>
              </w:rPr>
            </w:pPr>
            <w:r w:rsidRPr="00CB1B45">
              <w:rPr>
                <w:sz w:val="20"/>
                <w:szCs w:val="20"/>
                <w:lang w:val="en-US"/>
              </w:rPr>
              <w:t>n = 72%</w:t>
            </w:r>
            <w:r w:rsidRPr="00CB1B45">
              <w:rPr>
                <w:sz w:val="20"/>
                <w:szCs w:val="20"/>
              </w:rPr>
              <w:t xml:space="preserve">, </w:t>
            </w:r>
            <w:r w:rsidRPr="00CB1B45">
              <w:rPr>
                <w:sz w:val="20"/>
                <w:szCs w:val="20"/>
                <w:lang w:val="en-US"/>
              </w:rPr>
              <w:t>ne = 33%</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xml:space="preserve"> = 81%</w:t>
            </w:r>
          </w:p>
        </w:tc>
      </w:tr>
      <w:tr w:rsidR="00FF2AB3" w:rsidRPr="00CB1B45" w:rsidTr="00FF2AB3">
        <w:trPr>
          <w:trHeight w:val="331"/>
        </w:trPr>
        <w:tc>
          <w:tcPr>
            <w:tcW w:w="58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F2AB3" w:rsidRPr="00CB1B45" w:rsidRDefault="00FF2AB3" w:rsidP="00FF2AB3">
            <w:pPr>
              <w:spacing w:after="60"/>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 1 </w:t>
            </w:r>
            <w:r w:rsidRPr="00CB1B45">
              <w:rPr>
                <w:sz w:val="20"/>
                <w:szCs w:val="20"/>
                <w:lang w:val="en-US"/>
              </w:rPr>
              <w:t>Mw</w:t>
            </w:r>
            <w:r w:rsidRPr="00CB1B45">
              <w:rPr>
                <w:sz w:val="20"/>
                <w:szCs w:val="20"/>
              </w:rPr>
              <w:t xml:space="preserve"> λοιπών κατηγοριών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CB1B45" w:rsidRDefault="00FF2AB3" w:rsidP="00FF2AB3">
            <w:pPr>
              <w:spacing w:after="60"/>
              <w:jc w:val="center"/>
              <w:rPr>
                <w:sz w:val="20"/>
                <w:szCs w:val="20"/>
              </w:rPr>
            </w:pPr>
            <w:r w:rsidRPr="00CB1B45">
              <w:rPr>
                <w:sz w:val="20"/>
                <w:szCs w:val="20"/>
                <w:lang w:val="en-US"/>
              </w:rPr>
              <w:t xml:space="preserve">n = </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 = 33%</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xml:space="preserve"> = 81%</w:t>
            </w:r>
          </w:p>
        </w:tc>
      </w:tr>
      <w:tr w:rsidR="00FF2AB3" w:rsidRPr="00CB1B45" w:rsidTr="00FF2AB3">
        <w:trPr>
          <w:trHeight w:val="331"/>
        </w:trPr>
        <w:tc>
          <w:tcPr>
            <w:tcW w:w="58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F2AB3" w:rsidRPr="00CB1B45" w:rsidRDefault="00FF2AB3" w:rsidP="00FF2AB3">
            <w:pPr>
              <w:spacing w:after="60"/>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1 </w:t>
            </w:r>
            <w:r w:rsidRPr="00CB1B45">
              <w:rPr>
                <w:sz w:val="20"/>
                <w:szCs w:val="20"/>
                <w:lang w:val="en-US"/>
              </w:rPr>
              <w:t>Mw</w:t>
            </w:r>
            <w:r w:rsidRPr="00CB1B45">
              <w:rPr>
                <w:sz w:val="20"/>
                <w:szCs w:val="20"/>
              </w:rPr>
              <w:t xml:space="preserve"> και ≤ 35 </w:t>
            </w:r>
            <w:r w:rsidRPr="00CB1B45">
              <w:rPr>
                <w:sz w:val="20"/>
                <w:szCs w:val="20"/>
                <w:lang w:val="en-US"/>
              </w:rPr>
              <w:t>Mw</w:t>
            </w:r>
            <w:r w:rsidRPr="00CB1B45">
              <w:rPr>
                <w:sz w:val="20"/>
                <w:szCs w:val="20"/>
              </w:rPr>
              <w:t xml:space="preserve">  κατηγορίες (α) ή (γ)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CB1B45" w:rsidRDefault="00FF2AB3" w:rsidP="00FF2AB3">
            <w:pPr>
              <w:spacing w:after="60"/>
              <w:jc w:val="center"/>
              <w:rPr>
                <w:sz w:val="20"/>
                <w:szCs w:val="20"/>
              </w:rPr>
            </w:pPr>
            <w:r w:rsidRPr="00CB1B45">
              <w:rPr>
                <w:sz w:val="20"/>
                <w:szCs w:val="20"/>
                <w:lang w:val="en-US"/>
              </w:rPr>
              <w:t>n = 72%</w:t>
            </w:r>
            <w:r w:rsidRPr="00CB1B45">
              <w:rPr>
                <w:sz w:val="20"/>
                <w:szCs w:val="20"/>
              </w:rPr>
              <w:t xml:space="preserve">, </w:t>
            </w:r>
            <w:r w:rsidRPr="00CB1B45">
              <w:rPr>
                <w:sz w:val="20"/>
                <w:szCs w:val="20"/>
                <w:lang w:val="en-US"/>
              </w:rPr>
              <w:t>ne = 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xml:space="preserve"> = 81%</w:t>
            </w:r>
          </w:p>
        </w:tc>
      </w:tr>
      <w:tr w:rsidR="00FF2AB3" w:rsidRPr="00CB1B45" w:rsidTr="00FF2AB3">
        <w:trPr>
          <w:trHeight w:val="331"/>
        </w:trPr>
        <w:tc>
          <w:tcPr>
            <w:tcW w:w="58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F2AB3" w:rsidRPr="00CB1B45" w:rsidRDefault="00FF2AB3" w:rsidP="00FF2AB3">
            <w:pPr>
              <w:spacing w:after="60"/>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1 </w:t>
            </w:r>
            <w:r w:rsidRPr="00CB1B45">
              <w:rPr>
                <w:sz w:val="20"/>
                <w:szCs w:val="20"/>
                <w:lang w:val="en-US"/>
              </w:rPr>
              <w:t>Mw</w:t>
            </w:r>
            <w:r w:rsidRPr="00CB1B45">
              <w:rPr>
                <w:sz w:val="20"/>
                <w:szCs w:val="20"/>
              </w:rPr>
              <w:t xml:space="preserve"> και ≤ 35 </w:t>
            </w:r>
            <w:r w:rsidRPr="00CB1B45">
              <w:rPr>
                <w:sz w:val="20"/>
                <w:szCs w:val="20"/>
                <w:lang w:val="en-US"/>
              </w:rPr>
              <w:t>Mw</w:t>
            </w:r>
            <w:r w:rsidRPr="00CB1B45">
              <w:rPr>
                <w:sz w:val="20"/>
                <w:szCs w:val="20"/>
              </w:rPr>
              <w:t xml:space="preserve">  λοιπών κατηγοριών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CB1B45" w:rsidRDefault="00FF2AB3" w:rsidP="00FF2AB3">
            <w:pPr>
              <w:spacing w:after="60"/>
              <w:jc w:val="center"/>
              <w:rPr>
                <w:sz w:val="20"/>
                <w:szCs w:val="20"/>
              </w:rPr>
            </w:pPr>
            <w:r w:rsidRPr="00CB1B45">
              <w:rPr>
                <w:sz w:val="20"/>
                <w:szCs w:val="20"/>
                <w:lang w:val="en-US"/>
              </w:rPr>
              <w:t xml:space="preserve">n = </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 = 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xml:space="preserve"> = 81%</w:t>
            </w:r>
          </w:p>
        </w:tc>
      </w:tr>
      <w:tr w:rsidR="00FF2AB3" w:rsidRPr="00CB1B45" w:rsidTr="00FF2AB3">
        <w:trPr>
          <w:trHeight w:val="331"/>
        </w:trPr>
        <w:tc>
          <w:tcPr>
            <w:tcW w:w="58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F2AB3" w:rsidRPr="00CB1B45" w:rsidRDefault="00FF2AB3" w:rsidP="00FF2AB3">
            <w:pPr>
              <w:spacing w:after="60"/>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35 </w:t>
            </w:r>
            <w:r w:rsidRPr="00CB1B45">
              <w:rPr>
                <w:sz w:val="20"/>
                <w:szCs w:val="20"/>
                <w:lang w:val="en-US"/>
              </w:rPr>
              <w:t>Mw</w:t>
            </w:r>
            <w:r w:rsidRPr="00CB1B45">
              <w:rPr>
                <w:sz w:val="20"/>
                <w:szCs w:val="20"/>
              </w:rPr>
              <w:t xml:space="preserve">  κατηγορίες (α) ή (γ) </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CB1B45" w:rsidRDefault="00FF2AB3" w:rsidP="00FF2AB3">
            <w:pPr>
              <w:spacing w:after="60"/>
              <w:jc w:val="center"/>
              <w:rPr>
                <w:sz w:val="20"/>
                <w:szCs w:val="20"/>
              </w:rPr>
            </w:pPr>
            <w:r w:rsidRPr="00CB1B45">
              <w:rPr>
                <w:sz w:val="20"/>
                <w:szCs w:val="20"/>
                <w:lang w:val="en-US"/>
              </w:rPr>
              <w:t>n = 72%</w:t>
            </w:r>
            <w:r w:rsidRPr="00CB1B45">
              <w:rPr>
                <w:sz w:val="20"/>
                <w:szCs w:val="20"/>
              </w:rPr>
              <w:t xml:space="preserve">, </w:t>
            </w:r>
            <w:r w:rsidRPr="00CB1B45">
              <w:rPr>
                <w:sz w:val="20"/>
                <w:szCs w:val="20"/>
                <w:lang w:val="en-US"/>
              </w:rPr>
              <w:t>ne = 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xml:space="preserve"> = 81%</w:t>
            </w:r>
          </w:p>
        </w:tc>
      </w:tr>
      <w:tr w:rsidR="00FF2AB3" w:rsidRPr="00CB1B45" w:rsidTr="00FF2AB3">
        <w:trPr>
          <w:trHeight w:val="331"/>
        </w:trPr>
        <w:tc>
          <w:tcPr>
            <w:tcW w:w="58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F2AB3" w:rsidRPr="00CB1B45" w:rsidRDefault="00FF2AB3" w:rsidP="00FF2AB3">
            <w:pPr>
              <w:spacing w:after="60"/>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35 </w:t>
            </w:r>
            <w:proofErr w:type="spellStart"/>
            <w:r w:rsidRPr="00CB1B45">
              <w:rPr>
                <w:sz w:val="20"/>
                <w:szCs w:val="20"/>
              </w:rPr>
              <w:t>Mw</w:t>
            </w:r>
            <w:proofErr w:type="spellEnd"/>
            <w:r w:rsidRPr="00CB1B45">
              <w:rPr>
                <w:sz w:val="20"/>
                <w:szCs w:val="20"/>
              </w:rPr>
              <w:t xml:space="preserve">  λοιπών κατηγοριών</w:t>
            </w:r>
          </w:p>
        </w:tc>
        <w:tc>
          <w:tcPr>
            <w:tcW w:w="28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CB1B45" w:rsidRDefault="00FF2AB3" w:rsidP="00FF2AB3">
            <w:pPr>
              <w:spacing w:after="60"/>
              <w:jc w:val="center"/>
              <w:rPr>
                <w:sz w:val="20"/>
                <w:szCs w:val="20"/>
              </w:rPr>
            </w:pPr>
            <w:r w:rsidRPr="00CB1B45">
              <w:rPr>
                <w:sz w:val="20"/>
                <w:szCs w:val="20"/>
                <w:lang w:val="en-US"/>
              </w:rPr>
              <w:t xml:space="preserve">n = </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 = 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xml:space="preserve"> = 81%</w:t>
            </w:r>
          </w:p>
        </w:tc>
      </w:tr>
    </w:tbl>
    <w:p w:rsidR="00FF2AB3" w:rsidRPr="00CB1B45" w:rsidRDefault="00FF2AB3" w:rsidP="00FF2AB3">
      <w:pPr>
        <w:tabs>
          <w:tab w:val="left" w:pos="1911"/>
        </w:tabs>
      </w:pPr>
    </w:p>
    <w:p w:rsidR="00FF2AB3" w:rsidRPr="00CB1B45" w:rsidRDefault="00FF2AB3" w:rsidP="00FF2AB3">
      <w:pPr>
        <w:tabs>
          <w:tab w:val="left" w:pos="1911"/>
        </w:tabs>
      </w:pPr>
      <w:proofErr w:type="spellStart"/>
      <w:r w:rsidRPr="00CB1B45">
        <w:t>ΜΤΦΑ</w:t>
      </w:r>
      <w:proofErr w:type="spellEnd"/>
      <w:r w:rsidRPr="00CB1B45">
        <w:rPr>
          <w:lang w:val="en-US"/>
        </w:rPr>
        <w:t>t</w:t>
      </w:r>
      <w:r w:rsidRPr="00CB1B45">
        <w:t>: Η ανά μήνα μέση μοναδιαία μικτή τιμή του Φυσικού Αερίου η οποία περιλαμβάνει την τιμή πώλησης με το κόστος μεταφοράς και τον ειδικό φόρο κατανάλωσης (</w:t>
      </w:r>
      <w:proofErr w:type="spellStart"/>
      <w:r w:rsidRPr="00CB1B45">
        <w:t>ΜΤΦΑμ</w:t>
      </w:r>
      <w:proofErr w:type="spellEnd"/>
      <w:r>
        <w:t xml:space="preserve"> ή </w:t>
      </w:r>
      <w:proofErr w:type="spellStart"/>
      <w:r>
        <w:t>ΜΤΦΑη</w:t>
      </w:r>
      <w:proofErr w:type="spellEnd"/>
      <w:r w:rsidRPr="00CB1B45">
        <w:t xml:space="preserve">) στην οποία προστίθεται και το μέσο κόστος </w:t>
      </w:r>
      <w:r w:rsidRPr="00CB1B45">
        <w:rPr>
          <w:lang w:val="en-US"/>
        </w:rPr>
        <w:t>CO</w:t>
      </w:r>
      <w:r w:rsidRPr="00CB1B45">
        <w:t>2 που αντιστοιχεί στην ηλεκτροπαραγωγή.</w:t>
      </w:r>
    </w:p>
    <w:p w:rsidR="00FF2AB3" w:rsidRPr="00CB1B45" w:rsidRDefault="00FF2AB3" w:rsidP="00FF2AB3">
      <w:pPr>
        <w:tabs>
          <w:tab w:val="left" w:pos="1911"/>
        </w:tabs>
      </w:pPr>
      <w:proofErr w:type="spellStart"/>
      <w:r w:rsidRPr="00CB1B45">
        <w:t>ΜΤΦΑμ</w:t>
      </w:r>
      <w:proofErr w:type="spellEnd"/>
      <w:r w:rsidRPr="00CB1B45">
        <w:t>: Η ανά μήνα  μέση μοναδιαία τιμή πώλησης φυσικού αερίου για συμπαραγωγή σε €/</w:t>
      </w:r>
      <w:proofErr w:type="spellStart"/>
      <w:r w:rsidRPr="00CB1B45">
        <w:rPr>
          <w:lang w:val="en-US"/>
        </w:rPr>
        <w:t>MWh</w:t>
      </w:r>
      <w:proofErr w:type="spellEnd"/>
      <w:r w:rsidRPr="00CB1B45">
        <w:t xml:space="preserve"> Ανωτέρας Θερμογόνου Δύναμης (</w:t>
      </w:r>
      <w:proofErr w:type="spellStart"/>
      <w:r w:rsidRPr="00CB1B45">
        <w:t>ΑΘΔ</w:t>
      </w:r>
      <w:proofErr w:type="spellEnd"/>
      <w:r w:rsidRPr="00CB1B45">
        <w:t xml:space="preserve">) στους χρήστες φυσικού αερίου στην Ελλάδα, εξαιρούμενων των πελατών ηλεκτροπαραγωγής. Η τιμή αυτή ορίζεται με μέριμνα της Διεύθυνσης Πετρελαϊκής πολιτικής του </w:t>
      </w:r>
      <w:proofErr w:type="spellStart"/>
      <w:r w:rsidRPr="00CB1B45">
        <w:t>ΥΠΕΚΑ</w:t>
      </w:r>
      <w:proofErr w:type="spellEnd"/>
      <w:r w:rsidRPr="00CB1B45">
        <w:t xml:space="preserve"> και κοινοποιείται ανά μήνα στον </w:t>
      </w:r>
      <w:proofErr w:type="spellStart"/>
      <w:r w:rsidRPr="00CB1B45">
        <w:t>ΛΑΓΗΕ</w:t>
      </w:r>
      <w:proofErr w:type="spellEnd"/>
      <w:r w:rsidRPr="00CB1B45">
        <w:t xml:space="preserve">. </w:t>
      </w:r>
    </w:p>
    <w:p w:rsidR="00FF2AB3" w:rsidRPr="00F87634" w:rsidRDefault="00FF2AB3" w:rsidP="00FF2AB3">
      <w:pPr>
        <w:autoSpaceDE w:val="0"/>
        <w:autoSpaceDN w:val="0"/>
        <w:adjustRightInd w:val="0"/>
        <w:spacing w:line="240" w:lineRule="auto"/>
      </w:pPr>
      <w:proofErr w:type="spellStart"/>
      <w:r w:rsidRPr="00F87634">
        <w:t>Μ.Τ.Φ.Α.η</w:t>
      </w:r>
      <w:proofErr w:type="spellEnd"/>
      <w:r w:rsidRPr="00F87634">
        <w:t xml:space="preserve">: </w:t>
      </w:r>
      <w:r>
        <w:t>Η</w:t>
      </w:r>
      <w:r w:rsidRPr="00F87634">
        <w:t xml:space="preserve"> ανά μήνα μέση μοναδιαία τιμή πώλησης φυσικού αερίου σε €/</w:t>
      </w:r>
      <w:proofErr w:type="spellStart"/>
      <w:r w:rsidRPr="00F87634">
        <w:t>MWh</w:t>
      </w:r>
      <w:proofErr w:type="spellEnd"/>
      <w:r w:rsidRPr="00F87634">
        <w:t xml:space="preserve"> ανωτέρας θερμογόνου δύναμης (</w:t>
      </w:r>
      <w:proofErr w:type="spellStart"/>
      <w:r w:rsidRPr="00F87634">
        <w:t>ΑΘΔ</w:t>
      </w:r>
      <w:proofErr w:type="spellEnd"/>
      <w:r w:rsidRPr="00F87634">
        <w:t xml:space="preserve">) στους χρήστες ΦΑ στην Ελλάδα οι οποίοι είναι πελάτες ηλεκτροπαραγωγής. Η τιμή αυτή ορίζεται με μέριμνα της Διεύθυνσης Πετρελαϊκής Πολιτικής του Υπουργείου Περιβάλλοντος Ενέργειας και Κλιματικής Αλλαγής και κοινοποιείται ανά μήνα στον </w:t>
      </w:r>
      <w:proofErr w:type="spellStart"/>
      <w:r w:rsidRPr="00F87634">
        <w:t>ΛΑΓΗΕ</w:t>
      </w:r>
      <w:proofErr w:type="spellEnd"/>
      <w:r w:rsidRPr="00F87634">
        <w:t>.</w:t>
      </w:r>
    </w:p>
    <w:p w:rsidR="00FF2AB3" w:rsidRDefault="00FF2AB3" w:rsidP="00FF2AB3">
      <w:pPr>
        <w:autoSpaceDE w:val="0"/>
        <w:autoSpaceDN w:val="0"/>
        <w:adjustRightInd w:val="0"/>
        <w:spacing w:line="240" w:lineRule="auto"/>
        <w:rPr>
          <w:rFonts w:ascii="MgHelveticaUCPol" w:hAnsi="MgHelveticaUCPol" w:cs="MgHelveticaUCPol"/>
          <w:sz w:val="18"/>
          <w:szCs w:val="18"/>
          <w:lang w:eastAsia="el-GR"/>
        </w:rPr>
      </w:pPr>
    </w:p>
    <w:p w:rsidR="00FF2AB3" w:rsidRPr="00CB1B45" w:rsidRDefault="00FF2AB3" w:rsidP="00FF2AB3">
      <w:pPr>
        <w:autoSpaceDE w:val="0"/>
        <w:autoSpaceDN w:val="0"/>
        <w:adjustRightInd w:val="0"/>
        <w:spacing w:line="240" w:lineRule="auto"/>
      </w:pPr>
      <w:r w:rsidRPr="00CB1B45">
        <w:t xml:space="preserve">Το μέσο κόστος </w:t>
      </w:r>
      <w:r w:rsidRPr="00CB1B45">
        <w:rPr>
          <w:lang w:val="en-US"/>
        </w:rPr>
        <w:t>CO</w:t>
      </w:r>
      <w:r w:rsidRPr="00CB1B45">
        <w:t>2 υπολογίζεται από την μαθηματική σχέση:</w:t>
      </w:r>
    </w:p>
    <w:p w:rsidR="00FF2AB3" w:rsidRDefault="00FF2AB3" w:rsidP="00FF2AB3">
      <w:pPr>
        <w:tabs>
          <w:tab w:val="left" w:pos="1911"/>
        </w:tabs>
      </w:pPr>
    </w:p>
    <w:p w:rsidR="00FF2AB3" w:rsidRPr="00CB1B45" w:rsidRDefault="00FF2AB3" w:rsidP="00FF2AB3">
      <w:pPr>
        <w:tabs>
          <w:tab w:val="left" w:pos="1911"/>
        </w:tabs>
      </w:pPr>
      <w:r w:rsidRPr="00CB1B45">
        <w:t xml:space="preserve">Μέσο Κόστος </w:t>
      </w:r>
      <w:r w:rsidRPr="00CB1B45">
        <w:rPr>
          <w:lang w:val="en-US"/>
        </w:rPr>
        <w:t>CO</w:t>
      </w:r>
      <w:r w:rsidRPr="00CB1B45">
        <w:t>2  (€/</w:t>
      </w:r>
      <w:proofErr w:type="spellStart"/>
      <w:r w:rsidRPr="00CB1B45">
        <w:rPr>
          <w:lang w:val="en-US"/>
        </w:rPr>
        <w:t>Mwh</w:t>
      </w:r>
      <w:proofErr w:type="spellEnd"/>
      <w:r w:rsidRPr="00CB1B45">
        <w:t xml:space="preserve">) = </w:t>
      </w:r>
      <w:proofErr w:type="spellStart"/>
      <w:r w:rsidRPr="00CB1B45">
        <w:t>0.37*Μέση</w:t>
      </w:r>
      <w:proofErr w:type="spellEnd"/>
      <w:r w:rsidRPr="00CB1B45">
        <w:t xml:space="preserve"> Τιμή Δικαιωμάτων </w:t>
      </w:r>
      <w:r w:rsidRPr="00CB1B45">
        <w:rPr>
          <w:lang w:val="en-US"/>
        </w:rPr>
        <w:t>CO</w:t>
      </w:r>
      <w:r w:rsidRPr="00CB1B45">
        <w:t>2 (€/</w:t>
      </w:r>
      <w:proofErr w:type="spellStart"/>
      <w:r w:rsidRPr="00CB1B45">
        <w:rPr>
          <w:lang w:val="en-US"/>
        </w:rPr>
        <w:t>tn</w:t>
      </w:r>
      <w:proofErr w:type="spellEnd"/>
      <w:r w:rsidRPr="00CB1B45">
        <w:t>)*</w:t>
      </w:r>
      <w:r w:rsidRPr="00CB1B45">
        <w:rPr>
          <w:lang w:val="en-US"/>
        </w:rPr>
        <w:t>ne</w:t>
      </w:r>
    </w:p>
    <w:p w:rsidR="00FF2AB3" w:rsidRPr="00CB1B45" w:rsidRDefault="00FF2AB3" w:rsidP="00FF2AB3">
      <w:pPr>
        <w:tabs>
          <w:tab w:val="left" w:pos="1911"/>
        </w:tabs>
      </w:pPr>
      <w:r w:rsidRPr="00CB1B45">
        <w:t xml:space="preserve">Μέση Τιμή Δικαιωμάτων </w:t>
      </w:r>
      <w:r w:rsidRPr="00CB1B45">
        <w:rPr>
          <w:lang w:val="en-US"/>
        </w:rPr>
        <w:t>CO</w:t>
      </w:r>
      <w:r w:rsidRPr="00CB1B45">
        <w:t>2</w:t>
      </w:r>
      <w:r>
        <w:t>:</w:t>
      </w:r>
      <w:r w:rsidRPr="00CB1B45">
        <w:t xml:space="preserve"> </w:t>
      </w:r>
      <w:r>
        <w:t>Η</w:t>
      </w:r>
      <w:r w:rsidRPr="00CB1B45">
        <w:t xml:space="preserve"> ανά μήνα μέση τιμή των δικαιωμάτων </w:t>
      </w:r>
      <w:r w:rsidRPr="00CB1B45">
        <w:rPr>
          <w:lang w:val="en-US"/>
        </w:rPr>
        <w:t>CO</w:t>
      </w:r>
      <w:r w:rsidRPr="00CB1B45">
        <w:t>2 σε €/</w:t>
      </w:r>
      <w:proofErr w:type="spellStart"/>
      <w:r w:rsidRPr="00CB1B45">
        <w:rPr>
          <w:lang w:val="en-US"/>
        </w:rPr>
        <w:t>tn</w:t>
      </w:r>
      <w:proofErr w:type="spellEnd"/>
      <w:r w:rsidRPr="00CB1B45">
        <w:t xml:space="preserve"> όπως προκύπτει από τα στοιχεία του </w:t>
      </w:r>
      <w:proofErr w:type="spellStart"/>
      <w:r w:rsidRPr="00CB1B45">
        <w:t>ΕΕΧ</w:t>
      </w:r>
      <w:proofErr w:type="spellEnd"/>
      <w:r w:rsidRPr="00CB1B45">
        <w:t xml:space="preserve"> (</w:t>
      </w:r>
      <w:r w:rsidRPr="00CB1B45">
        <w:rPr>
          <w:lang w:val="en-US"/>
        </w:rPr>
        <w:t>Energy</w:t>
      </w:r>
      <w:r w:rsidRPr="00CB1B45">
        <w:t xml:space="preserve"> </w:t>
      </w:r>
      <w:r w:rsidRPr="00CB1B45">
        <w:rPr>
          <w:lang w:val="en-US"/>
        </w:rPr>
        <w:t>Exchange</w:t>
      </w:r>
      <w:r w:rsidRPr="00CB1B45">
        <w:t xml:space="preserve">). Η τιμή αυτή υπολογίζεται με μέριμνα του Γραφείου Εμπορίας Δικαιωμάτων Εκπομπών του </w:t>
      </w:r>
      <w:proofErr w:type="spellStart"/>
      <w:r w:rsidRPr="00CB1B45">
        <w:t>ΥΠΕΚΑ</w:t>
      </w:r>
      <w:proofErr w:type="spellEnd"/>
      <w:r w:rsidRPr="00CB1B45">
        <w:t xml:space="preserve"> και κοινοποιείται ανά μήνα στον </w:t>
      </w:r>
      <w:proofErr w:type="spellStart"/>
      <w:r w:rsidRPr="00CB1B45">
        <w:t>ΛΑΓΗΕ</w:t>
      </w:r>
      <w:proofErr w:type="spellEnd"/>
      <w:r w:rsidRPr="00CB1B45">
        <w:t>.</w:t>
      </w:r>
    </w:p>
    <w:p w:rsidR="00FF2AB3" w:rsidRDefault="00FF2AB3" w:rsidP="00FF2AB3">
      <w:r w:rsidRPr="00CB1B45">
        <w:t xml:space="preserve">Στην περίπτωση που σταθμός </w:t>
      </w:r>
      <w:proofErr w:type="spellStart"/>
      <w:r w:rsidRPr="00CB1B45">
        <w:t>ΣΗΘΥΑ</w:t>
      </w:r>
      <w:proofErr w:type="spellEnd"/>
      <w:r w:rsidRPr="00CB1B45">
        <w:t xml:space="preserve"> των κατηγοριών 19 έως 24 του πίνακα Α αξιοποιεί τα καυσαέρια για γεωργικούς σκοπούς το σταθερό τμήμα της τιμής του πίνακα (τιμή εξαιρουμένου του </w:t>
      </w:r>
      <w:proofErr w:type="spellStart"/>
      <w:r w:rsidRPr="00CB1B45">
        <w:t>ΣΡ</w:t>
      </w:r>
      <w:proofErr w:type="spellEnd"/>
      <w:r w:rsidRPr="00CB1B45">
        <w:t>) προσαυξάνεται κατά 10%.</w:t>
      </w:r>
    </w:p>
    <w:p w:rsidR="00FF2AB3" w:rsidRPr="00A06551" w:rsidRDefault="00FF2AB3" w:rsidP="00FF2AB3">
      <w:pPr>
        <w:tabs>
          <w:tab w:val="left" w:pos="1911"/>
        </w:tabs>
        <w:spacing w:after="120" w:line="240" w:lineRule="auto"/>
      </w:pPr>
      <w:r w:rsidRPr="00A06551">
        <w:t xml:space="preserve">Οι κατηγορίες ΧΕ και ΜΕ των πινάκων των περιπτώσεων α έως </w:t>
      </w:r>
      <w:r>
        <w:t>δ</w:t>
      </w:r>
      <w:r w:rsidRPr="00A06551">
        <w:t xml:space="preserve"> έχουν ως ακολούθως:</w:t>
      </w:r>
    </w:p>
    <w:p w:rsidR="00FF2AB3" w:rsidRPr="00A06551" w:rsidRDefault="00FF2AB3" w:rsidP="00FF2AB3">
      <w:pPr>
        <w:tabs>
          <w:tab w:val="left" w:pos="1911"/>
        </w:tabs>
        <w:spacing w:after="120" w:line="240" w:lineRule="auto"/>
      </w:pPr>
      <w:r w:rsidRPr="00A06551">
        <w:t>ΧΕ: Υλοποίηση της επένδυσης χωρίς τη χρήση δημόσιας ενίσχυσης κατά τα οριζόμενα στο άρθρο 2,</w:t>
      </w:r>
    </w:p>
    <w:p w:rsidR="00FF2AB3" w:rsidRPr="00A06551" w:rsidRDefault="00FF2AB3" w:rsidP="00FF2AB3">
      <w:pPr>
        <w:tabs>
          <w:tab w:val="left" w:pos="1911"/>
        </w:tabs>
        <w:spacing w:after="120" w:line="240" w:lineRule="auto"/>
      </w:pPr>
      <w:r w:rsidRPr="00A06551">
        <w:t>ΜΕ: Η υλοποίηση της επένδυσης με χρήση δημόσιας ενίσχυσης κατά τα οριζόμενα στο άρθρο 2.</w:t>
      </w:r>
    </w:p>
    <w:p w:rsidR="00FF2AB3" w:rsidRPr="00A06551" w:rsidRDefault="00FF2AB3" w:rsidP="00FF2AB3">
      <w:pPr>
        <w:tabs>
          <w:tab w:val="left" w:pos="1911"/>
        </w:tabs>
        <w:rPr>
          <w:highlight w:val="yellow"/>
        </w:rPr>
      </w:pPr>
      <w:r>
        <w:t xml:space="preserve">Ως ημερομηνία Διασύνδεσης στους ανωτέρω πίνακες νοείται η ημερομηνία που οι σταθμοί τέθηκαν </w:t>
      </w:r>
      <w:r w:rsidRPr="00C53A68">
        <w:t xml:space="preserve">σε κανονική ή δοκιμαστική λειτουργία ή, εάν δεν προβλέπεται περίοδος δοκιμαστικής λειτουργίας, </w:t>
      </w:r>
      <w:r>
        <w:t>ε</w:t>
      </w:r>
      <w:r w:rsidRPr="00C53A68">
        <w:t>νεργοποι</w:t>
      </w:r>
      <w:r>
        <w:t>ήθηκε</w:t>
      </w:r>
      <w:r w:rsidRPr="00C53A68">
        <w:t xml:space="preserve"> η σύνδεσή </w:t>
      </w:r>
      <w:r>
        <w:t>τους.</w:t>
      </w:r>
    </w:p>
    <w:p w:rsidR="00FF2AB3" w:rsidRPr="00A06551" w:rsidRDefault="00FF2AB3" w:rsidP="00FF2AB3">
      <w:pPr>
        <w:tabs>
          <w:tab w:val="left" w:pos="1911"/>
        </w:tabs>
      </w:pPr>
      <w:r w:rsidRPr="00A06551">
        <w:t>2. Για</w:t>
      </w:r>
      <w:r>
        <w:t xml:space="preserve"> λοιπούς, πλην </w:t>
      </w:r>
      <w:proofErr w:type="spellStart"/>
      <w:r>
        <w:t>φωτοβολταϊκών</w:t>
      </w:r>
      <w:proofErr w:type="spellEnd"/>
      <w:r>
        <w:t>,</w:t>
      </w:r>
      <w:r w:rsidRPr="00A06551">
        <w:t xml:space="preserve"> αιολικών</w:t>
      </w:r>
      <w:r>
        <w:t>, μικρών υδροηλεκτρικών,</w:t>
      </w:r>
      <w:r w:rsidRPr="00A06551">
        <w:t xml:space="preserve"> σταθμούς ΑΠΕ που </w:t>
      </w:r>
      <w:r>
        <w:t>κατά την έναρξη ισχύος του παρόντος</w:t>
      </w:r>
      <w:r w:rsidRPr="00A06551">
        <w:t xml:space="preserve"> βρίσκονται σε κανονική ή δοκιμαστική λειτουργία ή, εάν δεν προβλέπεται περίοδος δοκιμαστικής λειτουργίας, έχει ενεργοποιηθεί η σύνδεσή τους, η τιμή αποζημίωσης της παραγόμενης ηλεκτρικής ενέργειας από </w:t>
      </w:r>
      <w:r>
        <w:t>την ημερομηνία αυτή</w:t>
      </w:r>
      <w:r w:rsidRPr="00A06551">
        <w:t xml:space="preserve"> αναπροσαρμόζεται σύμφωνα με οριζόμενα στο άρθρο 5 του παρόντος. </w:t>
      </w:r>
    </w:p>
    <w:p w:rsidR="00FF2AB3" w:rsidRPr="00A06551" w:rsidRDefault="00FF2AB3" w:rsidP="00FF2AB3">
      <w:pPr>
        <w:tabs>
          <w:tab w:val="left" w:pos="1911"/>
        </w:tabs>
        <w:rPr>
          <w:highlight w:val="yellow"/>
        </w:rPr>
      </w:pPr>
      <w:r>
        <w:t xml:space="preserve">3. </w:t>
      </w:r>
      <w:r w:rsidRPr="00A06551">
        <w:t>Οι διατάξεις των περιπτώσεων (α), (β)</w:t>
      </w:r>
      <w:r>
        <w:t>,</w:t>
      </w:r>
      <w:r w:rsidRPr="00A06551">
        <w:t xml:space="preserve"> (γ)</w:t>
      </w:r>
      <w:r>
        <w:t xml:space="preserve"> και (δ)</w:t>
      </w:r>
      <w:r w:rsidRPr="00A06551">
        <w:t xml:space="preserve"> </w:t>
      </w:r>
      <w:r>
        <w:t xml:space="preserve">της παραγράφου 1 </w:t>
      </w:r>
      <w:r w:rsidRPr="00A06551">
        <w:t xml:space="preserve">δεν εφαρμόζονται για σταθμούς για τους οποίους </w:t>
      </w:r>
      <w:r>
        <w:t>η τιμή</w:t>
      </w:r>
      <w:r w:rsidRPr="00A06551">
        <w:t xml:space="preserve"> αποζημίωσης </w:t>
      </w:r>
      <w:r>
        <w:t xml:space="preserve">που εφαρμόζεται για την εκτέλεση των συμβάσεων πώλησης για την ενέργεια που έχει παραχθεί τον Ιανουάριο του 2014 </w:t>
      </w:r>
      <w:r w:rsidRPr="00A06551">
        <w:t>είναι μικρότερη από την τιμή</w:t>
      </w:r>
      <w:r>
        <w:t xml:space="preserve"> αποζημίωσης</w:t>
      </w:r>
      <w:r w:rsidRPr="00A06551">
        <w:t>, που θα αντιστοιχούσε σε αυτούς με την κατάταξή τους στις αντίστοιχες κατηγορίες των πινάκων των περιπτώσεων (α), (β)</w:t>
      </w:r>
      <w:r>
        <w:t>,</w:t>
      </w:r>
      <w:r w:rsidRPr="00A06551">
        <w:t xml:space="preserve"> (γ)</w:t>
      </w:r>
      <w:r>
        <w:t xml:space="preserve"> και (δ)</w:t>
      </w:r>
      <w:r w:rsidRPr="00A06551">
        <w:t xml:space="preserve"> </w:t>
      </w:r>
      <w:r>
        <w:t xml:space="preserve">της παραγράφου 1 </w:t>
      </w:r>
      <w:r w:rsidRPr="00A06551">
        <w:t>συμπεριλαμβανομένων τυχόν προσαυξήσεων κατά τις διατάξεις</w:t>
      </w:r>
      <w:r>
        <w:t xml:space="preserve"> αυτές</w:t>
      </w:r>
      <w:r w:rsidRPr="00A06551">
        <w:t>.</w:t>
      </w:r>
    </w:p>
    <w:p w:rsidR="00FF2AB3" w:rsidRPr="00074303" w:rsidRDefault="00FF2AB3" w:rsidP="00FF2AB3">
      <w:pPr>
        <w:tabs>
          <w:tab w:val="left" w:pos="1911"/>
        </w:tabs>
      </w:pPr>
      <w:r>
        <w:t>4</w:t>
      </w:r>
      <w:r w:rsidRPr="00074303">
        <w:t xml:space="preserve">. Ο </w:t>
      </w:r>
      <w:proofErr w:type="spellStart"/>
      <w:r w:rsidRPr="00074303">
        <w:t>ΛΑΓΗΕ</w:t>
      </w:r>
      <w:proofErr w:type="spellEnd"/>
      <w:r w:rsidRPr="00074303">
        <w:t xml:space="preserve"> για τις συμβάσεις πώλησης ηλεκτρικής ενέργειας στο διασυνδεδεμένο σύστημα, ο </w:t>
      </w:r>
      <w:proofErr w:type="spellStart"/>
      <w:r w:rsidRPr="00074303">
        <w:t>ΔΕΔΔΗΕ</w:t>
      </w:r>
      <w:proofErr w:type="spellEnd"/>
      <w:r w:rsidRPr="00074303">
        <w:t xml:space="preserve"> για τις συμβάσεις πώλησης ηλεκτρικής ενέργειας στο μη διασυνδεδεμένο σύστημα των νησιών καθώς και οι προμηθευτές ηλεκτρικής ενέργειας στην περίπτωση των εγκαταστάσεων του «ειδικού προγράμματος ανάπτυξης </w:t>
      </w:r>
      <w:proofErr w:type="spellStart"/>
      <w:r w:rsidRPr="00074303">
        <w:t>φωτοβολταϊκών</w:t>
      </w:r>
      <w:proofErr w:type="spellEnd"/>
      <w:r w:rsidRPr="00074303">
        <w:t xml:space="preserve"> στις στέγες» αναπροσαρμόζουν τις τιμές από </w:t>
      </w:r>
      <w:r>
        <w:t>την ημερομηνία ισχύος του παρόντος άρθρου με</w:t>
      </w:r>
      <w:r w:rsidRPr="00074303">
        <w:t xml:space="preserve"> βάση τι</w:t>
      </w:r>
      <w:r>
        <w:t>ς διατάξεις αυτού.</w:t>
      </w:r>
    </w:p>
    <w:p w:rsidR="00FF2AB3" w:rsidRPr="00074303" w:rsidRDefault="00FF2AB3" w:rsidP="00FC1786">
      <w:pPr>
        <w:pStyle w:val="1"/>
      </w:pPr>
      <w:r w:rsidRPr="00074303">
        <w:t>Άρθρο 2</w:t>
      </w:r>
    </w:p>
    <w:p w:rsidR="00FF2AB3" w:rsidRPr="00074303" w:rsidRDefault="00FF2AB3" w:rsidP="00FC1786">
      <w:pPr>
        <w:pStyle w:val="1"/>
      </w:pPr>
      <w:r w:rsidRPr="00074303">
        <w:t>Δημόσια ενίσχυση – Κριτήρια υπαγωγής στις διατάξεις του άρθρου 1</w:t>
      </w:r>
    </w:p>
    <w:p w:rsidR="00FF2AB3" w:rsidRPr="00074303" w:rsidRDefault="00FF2AB3" w:rsidP="00FF2AB3">
      <w:pPr>
        <w:tabs>
          <w:tab w:val="left" w:pos="1911"/>
        </w:tabs>
      </w:pPr>
      <w:r w:rsidRPr="00074303">
        <w:t xml:space="preserve">1. Οι σταθμοί παραγωγής, με εξαίρεση τους σταθμούς του «ειδικού προγράμματος ανάπτυξης </w:t>
      </w:r>
      <w:proofErr w:type="spellStart"/>
      <w:r w:rsidRPr="00074303">
        <w:t>φωτοβολταϊκών</w:t>
      </w:r>
      <w:proofErr w:type="spellEnd"/>
      <w:r w:rsidRPr="00074303">
        <w:t xml:space="preserve"> σε κτίρια», εντάσσονται στην κατηγορία ΜΕ (με χρήση ενίσχυσης) του άρθρου 1 με τη συνδρομή σωρευτικά των εξής δυο προϋποθέσεων:</w:t>
      </w:r>
    </w:p>
    <w:p w:rsidR="00FF2AB3" w:rsidRPr="00074303" w:rsidRDefault="00FF2AB3" w:rsidP="00FF2AB3">
      <w:pPr>
        <w:tabs>
          <w:tab w:val="left" w:pos="1911"/>
        </w:tabs>
      </w:pPr>
      <w:r w:rsidRPr="00074303">
        <w:t>α. Ο σταθμός παραγωγής έχει τύχει άμεσης ενίσχυσης (επιχορήγηση) ή ισοδύναμης ενίσχυσης με άλλα μέσα (αφορολόγητα αποθεματικά, απαλλαγή από φόρο εισοδήματος, επιδότηση επιτοκίου) σε ποσοστό μεγαλύτερο από 20% επί του κόστους της επένδυσης όπως έχει διαμορφωθεί έως την 31.12.2013 και αποτυπώνεται στο λογιστικό σύστημα και τις λογιστικές καταστάσεις του παραγωγού.</w:t>
      </w:r>
    </w:p>
    <w:p w:rsidR="00FF2AB3" w:rsidRPr="00074303" w:rsidRDefault="00FF2AB3" w:rsidP="00FF2AB3">
      <w:pPr>
        <w:tabs>
          <w:tab w:val="left" w:pos="1911"/>
        </w:tabs>
      </w:pPr>
      <w:r w:rsidRPr="00074303">
        <w:t xml:space="preserve">β. Έχει καταβληθεί πάνω από το 50% του συνόλου της ενίσχυσης (άμεσης ή ισοδύναμης). </w:t>
      </w:r>
    </w:p>
    <w:p w:rsidR="00FF2AB3" w:rsidRDefault="00FF2AB3" w:rsidP="00FF2AB3">
      <w:pPr>
        <w:tabs>
          <w:tab w:val="left" w:pos="1911"/>
        </w:tabs>
      </w:pPr>
      <w:r>
        <w:t xml:space="preserve">Οι εγκαταστάσεις του «ειδικού προγράμματος ανάπτυξης </w:t>
      </w:r>
      <w:proofErr w:type="spellStart"/>
      <w:r>
        <w:t>φωτοβολταϊκών</w:t>
      </w:r>
      <w:proofErr w:type="spellEnd"/>
      <w:r>
        <w:t xml:space="preserve"> σε κτίρια» εντάσσονται στην κατηγορία ΧΕ (χωρίς χρήση ενίσχυσης) του άρθρου 1.</w:t>
      </w:r>
    </w:p>
    <w:p w:rsidR="00FF2AB3" w:rsidRPr="00074303" w:rsidRDefault="00FF2AB3" w:rsidP="00FF2AB3">
      <w:pPr>
        <w:tabs>
          <w:tab w:val="left" w:pos="1911"/>
        </w:tabs>
      </w:pPr>
      <w:r w:rsidRPr="00074303">
        <w:t>Ως δημόσια ενίσχυση νοείται η ενίσχυση από αναπτυξιακό νόμο ή μέσω ένταξης σε προγράμματα χρηματοδοτούμενα από εθνικούς πόρους ή/και πόρους της Ευρωπαϊκής Ένωσης.</w:t>
      </w:r>
    </w:p>
    <w:p w:rsidR="00FF2AB3" w:rsidRPr="00074303" w:rsidRDefault="00FF2AB3" w:rsidP="00FF2AB3">
      <w:pPr>
        <w:tabs>
          <w:tab w:val="left" w:pos="1911"/>
        </w:tabs>
      </w:pPr>
      <w:r w:rsidRPr="00074303">
        <w:t>2. Αρχικά όλοι οι παραγωγοί</w:t>
      </w:r>
      <w:r>
        <w:t>,</w:t>
      </w:r>
      <w:r w:rsidRPr="00074303">
        <w:t xml:space="preserve"> με εξαίρεση τους σταθμούς του «ειδικού προγράμματος ανάπτυξης </w:t>
      </w:r>
      <w:proofErr w:type="spellStart"/>
      <w:r w:rsidRPr="00074303">
        <w:t>φωτοβολταϊκών</w:t>
      </w:r>
      <w:proofErr w:type="spellEnd"/>
      <w:r w:rsidRPr="00074303">
        <w:t xml:space="preserve"> σε κτίρια», κατατάσσονται στην κατηγορία ΜΕ (με χρήση ενίσχυσης). Εντός δύο (2) μηνών από την δημοσίευση του παρόντος, οι παραγωγοί δηλώνουν, με υπεύθυνη δήλωση του </w:t>
      </w:r>
      <w:proofErr w:type="spellStart"/>
      <w:r w:rsidRPr="00074303">
        <w:t>Ν.1599</w:t>
      </w:r>
      <w:proofErr w:type="spellEnd"/>
      <w:r w:rsidRPr="00074303">
        <w:t>/1986 κατά περίπτωση:</w:t>
      </w:r>
    </w:p>
    <w:p w:rsidR="00FF2AB3" w:rsidRPr="00074303" w:rsidRDefault="00FF2AB3" w:rsidP="00FF2AB3">
      <w:pPr>
        <w:tabs>
          <w:tab w:val="left" w:pos="1911"/>
        </w:tabs>
      </w:pPr>
      <w:r w:rsidRPr="00074303">
        <w:t xml:space="preserve"> α. το κόστος της επένδυσης, το είδος της ενίσχυσης και το ύψος της ενίσχυσης επί του κόστους επένδυσης, κατά τα οριζόμενα στην παράγραφο 1α, καθώς και το ποσό και ποσοστό της ενίσχυσης που έχει καταβληθεί έως την ημερομηνία υποβολής της δήλωσης, ή</w:t>
      </w:r>
    </w:p>
    <w:p w:rsidR="00FF2AB3" w:rsidRPr="00074303" w:rsidRDefault="00FF2AB3" w:rsidP="00FF2AB3">
      <w:pPr>
        <w:tabs>
          <w:tab w:val="left" w:pos="1911"/>
        </w:tabs>
      </w:pPr>
      <w:r w:rsidRPr="00074303">
        <w:t xml:space="preserve"> β. το κόστος της επένδυσης με αναφορά ότι δεν συντρέχουν οι προϋποθέσεις της περίπτωσης α της παραγράφου 1.</w:t>
      </w:r>
    </w:p>
    <w:p w:rsidR="00FF2AB3" w:rsidRPr="00074303" w:rsidRDefault="00FF2AB3" w:rsidP="00FF2AB3">
      <w:pPr>
        <w:tabs>
          <w:tab w:val="left" w:pos="1911"/>
        </w:tabs>
      </w:pPr>
      <w:r w:rsidRPr="00074303">
        <w:t xml:space="preserve">Η ανωτέρω δήλωση υποβάλλεται στον </w:t>
      </w:r>
      <w:proofErr w:type="spellStart"/>
      <w:r w:rsidRPr="00074303">
        <w:t>ΛΑΓΗΕ</w:t>
      </w:r>
      <w:proofErr w:type="spellEnd"/>
      <w:r w:rsidRPr="00074303">
        <w:t xml:space="preserve"> για τις συμβάσεις πώλησης ηλεκτρικής ενέργειας στο διασυνδεδεμένο σύστημα και στο </w:t>
      </w:r>
      <w:proofErr w:type="spellStart"/>
      <w:r w:rsidRPr="00074303">
        <w:t>ΔΕΔΔΗΕ</w:t>
      </w:r>
      <w:proofErr w:type="spellEnd"/>
      <w:r w:rsidRPr="00074303">
        <w:t xml:space="preserve"> για τις συμβάσεις πώλησης ηλεκτρικής ενέργειας στο μη διασυνδεδεμένο σύστημα των νησιών.</w:t>
      </w:r>
    </w:p>
    <w:p w:rsidR="00FF2AB3" w:rsidRPr="00074303" w:rsidRDefault="00FF2AB3" w:rsidP="00FF2AB3">
      <w:pPr>
        <w:tabs>
          <w:tab w:val="left" w:pos="1911"/>
        </w:tabs>
      </w:pPr>
      <w:r w:rsidRPr="00074303">
        <w:t xml:space="preserve">Σε περίπτωση ανακριβούς δήλωσης, πέραν των λοιπών κυρώσεων, ο παραγωγός θα αποζημιώνεται από την ημερομηνία συνδρομής των προϋποθέσεων της παραγράφου 1 με την τρέχουσα τιμή για νεοεισερχόμενους σταθμούς.  </w:t>
      </w:r>
    </w:p>
    <w:p w:rsidR="00FF2AB3" w:rsidRPr="00074303" w:rsidRDefault="00FF2AB3" w:rsidP="00FF2AB3">
      <w:pPr>
        <w:tabs>
          <w:tab w:val="left" w:pos="1911"/>
        </w:tabs>
      </w:pPr>
      <w:r w:rsidRPr="00074303">
        <w:t xml:space="preserve">3. Για τις περιπτώσεις όπου δεν έχει καταβληθεί πάνω από το 50% του συνόλου της ενίσχυσης (άμεσης ή ισοδύναμης) έως την ημερομηνία δημοσίευσης του παρόντος, οι παραγωγοί υποχρεούνται εντός δύο (2) μηνών από την ημερομηνία τελευταίας καταβολής με την οποία καλύπτεται το όριο του 50% να υποβάλουν νέα περί του γεγονότος αυτού υπεύθυνη δήλωση του </w:t>
      </w:r>
      <w:proofErr w:type="spellStart"/>
      <w:r w:rsidRPr="00074303">
        <w:t>Ν.1599</w:t>
      </w:r>
      <w:proofErr w:type="spellEnd"/>
      <w:r w:rsidRPr="00074303">
        <w:t>/1986  ώστε να υπαχθούν στην κατηγορία ΜΕ. Η κατάταξη γίνεται κατά τον μήνα που εκδίδεται η εντολή πληρωμής από τον αρμόδιο φορέα που παρέχει την ενίσχυση.</w:t>
      </w:r>
    </w:p>
    <w:p w:rsidR="00FF2AB3" w:rsidRPr="00074303" w:rsidRDefault="00FF2AB3" w:rsidP="00FF2AB3">
      <w:pPr>
        <w:tabs>
          <w:tab w:val="left" w:pos="1911"/>
        </w:tabs>
      </w:pPr>
      <w:r w:rsidRPr="00074303">
        <w:t xml:space="preserve">4. Το </w:t>
      </w:r>
      <w:proofErr w:type="spellStart"/>
      <w:r w:rsidRPr="00074303">
        <w:t>ΥΠΕΚΑ</w:t>
      </w:r>
      <w:proofErr w:type="spellEnd"/>
      <w:r w:rsidRPr="00074303">
        <w:t xml:space="preserve"> με συντονισμό της Υπηρεσίας εξυπηρέτησης επενδυτών για έργα ΑΠΕ σε συνεργασία με το Διαχειριστή και τον Λειτουργό της αγοράς δύναται να διενεργεί δειγματοληπτικούς ελέγχους για την ακρίβεια των δηλώσεων. </w:t>
      </w:r>
    </w:p>
    <w:p w:rsidR="00FF2AB3" w:rsidRPr="00C53A68" w:rsidRDefault="00FF2AB3" w:rsidP="00FC1786">
      <w:pPr>
        <w:pStyle w:val="1"/>
      </w:pPr>
      <w:r w:rsidRPr="00C53A68">
        <w:t>Άρθρο 3</w:t>
      </w:r>
    </w:p>
    <w:p w:rsidR="00FF2AB3" w:rsidRDefault="00FF2AB3" w:rsidP="00FF2AB3">
      <w:pPr>
        <w:tabs>
          <w:tab w:val="left" w:pos="1911"/>
        </w:tabs>
      </w:pPr>
      <w:r w:rsidRPr="00C53A68">
        <w:t>1. Εντός δύο (2) μηνών από την έναρξη ισχύος του παρόντος νόμου, οι παραγωγοί ΑΠΕ/</w:t>
      </w:r>
      <w:proofErr w:type="spellStart"/>
      <w:r w:rsidRPr="00C53A68">
        <w:t>ΣΗΘΥΑ</w:t>
      </w:r>
      <w:proofErr w:type="spellEnd"/>
      <w:r w:rsidRPr="00C53A68">
        <w:t xml:space="preserve"> οφείλουν να εκδώσουν εκπτωτικό-πιστωτικό παραστατικό κατά τον </w:t>
      </w:r>
      <w:r w:rsidRPr="00745761">
        <w:t>Κώδικα Φορολογικής Απεικόνισης Συναλλαγών</w:t>
      </w:r>
      <w:r w:rsidRPr="00745761">
        <w:rPr>
          <w:rStyle w:val="st1"/>
          <w:rFonts w:cs="Arial"/>
          <w:color w:val="444444"/>
        </w:rPr>
        <w:t xml:space="preserve"> (</w:t>
      </w:r>
      <w:proofErr w:type="spellStart"/>
      <w:r w:rsidRPr="00C53A68">
        <w:t>ΚΦΑΣ</w:t>
      </w:r>
      <w:proofErr w:type="spellEnd"/>
      <w:r w:rsidRPr="00745761">
        <w:t>)</w:t>
      </w:r>
      <w:r>
        <w:t>,</w:t>
      </w:r>
      <w:r w:rsidRPr="00C53A68">
        <w:t xml:space="preserve"> με το οποίο να παρέχουν έκπτωση</w:t>
      </w:r>
      <w:r>
        <w:t>:</w:t>
      </w:r>
      <w:r w:rsidRPr="00C53A68">
        <w:t xml:space="preserve"> </w:t>
      </w:r>
    </w:p>
    <w:p w:rsidR="00FF2AB3" w:rsidRDefault="00FF2AB3" w:rsidP="00FF2AB3">
      <w:pPr>
        <w:tabs>
          <w:tab w:val="left" w:pos="1911"/>
        </w:tabs>
      </w:pPr>
      <w:r>
        <w:t xml:space="preserve">α. </w:t>
      </w:r>
      <w:r w:rsidRPr="00C53A68">
        <w:t xml:space="preserve">σε ποσοστό 35% οι παραγωγοί ενέργειας από </w:t>
      </w:r>
      <w:proofErr w:type="spellStart"/>
      <w:r w:rsidRPr="00C53A68">
        <w:t>φωτοβολταϊκά</w:t>
      </w:r>
      <w:proofErr w:type="spellEnd"/>
      <w:r w:rsidRPr="00C53A68">
        <w:t xml:space="preserve"> (πλην των περιπτώσεων του «Ειδικού Προγράμματος ανάπτυξης </w:t>
      </w:r>
      <w:proofErr w:type="spellStart"/>
      <w:r w:rsidRPr="00C53A68">
        <w:t>φωτοβολταϊκών</w:t>
      </w:r>
      <w:proofErr w:type="spellEnd"/>
      <w:r w:rsidRPr="00C53A68">
        <w:t xml:space="preserve"> συστημάτων σε κτιριακές εγκαταστάσεις») και </w:t>
      </w:r>
    </w:p>
    <w:p w:rsidR="00FF2AB3" w:rsidRDefault="00FF2AB3" w:rsidP="00FF2AB3">
      <w:pPr>
        <w:tabs>
          <w:tab w:val="left" w:pos="1911"/>
        </w:tabs>
      </w:pPr>
      <w:r>
        <w:t xml:space="preserve">β. </w:t>
      </w:r>
      <w:r w:rsidRPr="00C53A68">
        <w:t>σε ποσοστό 10% οι παραγωγοί ενέργειας από τις υπόλοιπες ΑΠΕ/</w:t>
      </w:r>
      <w:proofErr w:type="spellStart"/>
      <w:r w:rsidRPr="00C53A68">
        <w:t>ΣΗΘΥΑ</w:t>
      </w:r>
      <w:proofErr w:type="spellEnd"/>
      <w:r>
        <w:t>,</w:t>
      </w:r>
      <w:r w:rsidRPr="00C53A68">
        <w:t xml:space="preserve"> </w:t>
      </w:r>
    </w:p>
    <w:p w:rsidR="00FF2AB3" w:rsidRDefault="00FF2AB3" w:rsidP="00FF2AB3">
      <w:pPr>
        <w:tabs>
          <w:tab w:val="left" w:pos="1911"/>
        </w:tabs>
      </w:pPr>
      <w:r>
        <w:t xml:space="preserve">και στις δύο περιπτώσεις (α) και (β) </w:t>
      </w:r>
      <w:r w:rsidRPr="00C53A68">
        <w:t xml:space="preserve">επί της συνολικής αξίας της πωληθείσας ενέργειας για το 2013. </w:t>
      </w:r>
    </w:p>
    <w:p w:rsidR="00FF2AB3" w:rsidRPr="00C53A68" w:rsidRDefault="00FF2AB3" w:rsidP="00FF2AB3">
      <w:pPr>
        <w:tabs>
          <w:tab w:val="left" w:pos="1911"/>
        </w:tabs>
      </w:pPr>
      <w:r>
        <w:t xml:space="preserve">2. </w:t>
      </w:r>
      <w:r>
        <w:rPr>
          <w:lang w:val="en-US"/>
        </w:rPr>
        <w:t>A</w:t>
      </w:r>
      <w:proofErr w:type="spellStart"/>
      <w:r>
        <w:t>πό</w:t>
      </w:r>
      <w:proofErr w:type="spellEnd"/>
      <w:r>
        <w:t xml:space="preserve"> την παρέλευση της προθεσμίας της παραγράφου 1 και μέχρι την </w:t>
      </w:r>
      <w:r w:rsidRPr="00C53A68">
        <w:t>έκδοση και παράδοση του παραστατικού</w:t>
      </w:r>
      <w:r w:rsidRPr="002A5E35">
        <w:t xml:space="preserve"> </w:t>
      </w:r>
      <w:r>
        <w:t>που αναφέρεται στην παράγραφο αυτή</w:t>
      </w:r>
      <w:r w:rsidRPr="00C53A68">
        <w:t>, αναστέλλεται η υποχρέωση</w:t>
      </w:r>
      <w:r>
        <w:t>,</w:t>
      </w:r>
      <w:r w:rsidRPr="00C53A68">
        <w:t xml:space="preserve"> του </w:t>
      </w:r>
      <w:proofErr w:type="spellStart"/>
      <w:r w:rsidRPr="00C53A68">
        <w:t>ΛΑΓΗΕ</w:t>
      </w:r>
      <w:proofErr w:type="spellEnd"/>
      <w:r w:rsidRPr="00C53A68">
        <w:t xml:space="preserve"> για το Διασυνδεδεμένο Σύστημα και του </w:t>
      </w:r>
      <w:proofErr w:type="spellStart"/>
      <w:r w:rsidRPr="00C53A68">
        <w:t>ΔΕΔΔΗΕ</w:t>
      </w:r>
      <w:proofErr w:type="spellEnd"/>
      <w:r w:rsidRPr="00C53A68">
        <w:t xml:space="preserve"> για το Μη Διασυνδεδεμένο Σύστημα</w:t>
      </w:r>
      <w:r>
        <w:t>,</w:t>
      </w:r>
      <w:r w:rsidRPr="00C53A68">
        <w:t xml:space="preserve"> καταβολής τιμήματος για την  ποσότητα ενέργειας</w:t>
      </w:r>
      <w:r w:rsidRPr="007453DB">
        <w:t xml:space="preserve"> </w:t>
      </w:r>
      <w:r>
        <w:t>που παραδίδεται από τον μήνα έναρξης ισχύος του παρόντος και εφεξής</w:t>
      </w:r>
      <w:r w:rsidRPr="00C53A68">
        <w:t>. Ο Γενικός Γραμματέας Δημοσίων Εσόδων εξουσιοδοτείται να καθορίσει με απόφασή του τις λεπτομέρειες σχετικά με την φορολογική απεικόνιση της συναλλαγής</w:t>
      </w:r>
      <w:r>
        <w:t xml:space="preserve"> που περιγράφεται στην παράγραφο 1 και την παρούσα</w:t>
      </w:r>
      <w:r w:rsidRPr="00C53A68">
        <w:t xml:space="preserve">. </w:t>
      </w:r>
    </w:p>
    <w:p w:rsidR="00FF2AB3" w:rsidRDefault="00FF2AB3" w:rsidP="00FF2AB3">
      <w:pPr>
        <w:tabs>
          <w:tab w:val="left" w:pos="1911"/>
        </w:tabs>
        <w:rPr>
          <w:b/>
        </w:rPr>
      </w:pPr>
      <w:r>
        <w:t>3</w:t>
      </w:r>
      <w:r w:rsidRPr="00C53A68">
        <w:t xml:space="preserve">. Για τα έργα ΑΠΕ </w:t>
      </w:r>
      <w:r>
        <w:t xml:space="preserve">και </w:t>
      </w:r>
      <w:proofErr w:type="spellStart"/>
      <w:r>
        <w:t>ΣΗΘΥΑ</w:t>
      </w:r>
      <w:proofErr w:type="spellEnd"/>
      <w:r>
        <w:t xml:space="preserve"> </w:t>
      </w:r>
      <w:r w:rsidRPr="00C53A68">
        <w:t xml:space="preserve">που εκδίδουν σύμφωνα με την παρ. 1 πιστωτικό-εκπτωτικό </w:t>
      </w:r>
      <w:r>
        <w:t>παραστατικό</w:t>
      </w:r>
      <w:r w:rsidRPr="00C53A68">
        <w:t xml:space="preserve"> η έκτακτη εισφορά </w:t>
      </w:r>
      <w:r>
        <w:t xml:space="preserve">του ν. 4093/2012, όπως τροποποιήθηκε και ισχύει, </w:t>
      </w:r>
      <w:r w:rsidRPr="00C53A68">
        <w:t xml:space="preserve">για το 2013 </w:t>
      </w:r>
      <w:proofErr w:type="spellStart"/>
      <w:r>
        <w:t>επανυ</w:t>
      </w:r>
      <w:r w:rsidRPr="00C53A68">
        <w:t>πολογίζεται</w:t>
      </w:r>
      <w:proofErr w:type="spellEnd"/>
      <w:r w:rsidRPr="00C53A68">
        <w:t xml:space="preserve"> επί των μειωμένων</w:t>
      </w:r>
      <w:r>
        <w:t>,</w:t>
      </w:r>
      <w:r w:rsidRPr="00C53A68">
        <w:t xml:space="preserve"> μετά την έκπτωση</w:t>
      </w:r>
      <w:r>
        <w:t>,</w:t>
      </w:r>
      <w:r w:rsidRPr="00C53A68">
        <w:t xml:space="preserve"> εσόδων από την πώληση ενέργειας το αναφερόμενο έτος. </w:t>
      </w:r>
    </w:p>
    <w:p w:rsidR="00FF2AB3" w:rsidRPr="00CB1B45" w:rsidRDefault="00FF2AB3" w:rsidP="00FC1786">
      <w:pPr>
        <w:pStyle w:val="1"/>
      </w:pPr>
      <w:r w:rsidRPr="00CB1B45">
        <w:t>Άρθρο 4</w:t>
      </w:r>
    </w:p>
    <w:p w:rsidR="00FF2AB3" w:rsidRPr="00CB1B45" w:rsidRDefault="00FF2AB3" w:rsidP="00FC1786">
      <w:pPr>
        <w:pStyle w:val="1"/>
      </w:pPr>
      <w:r w:rsidRPr="00CB1B45">
        <w:t>Επέκταση - τροποποίηση συμβάσεων</w:t>
      </w:r>
    </w:p>
    <w:p w:rsidR="00FF2AB3" w:rsidRPr="00CB1B45" w:rsidRDefault="00FF2AB3" w:rsidP="00FF2AB3">
      <w:pPr>
        <w:tabs>
          <w:tab w:val="left" w:pos="1911"/>
        </w:tabs>
      </w:pPr>
      <w:r w:rsidRPr="00CB1B45">
        <w:t xml:space="preserve">1. Για όλους τους σταθμούς ΑΠΕ που λειτουργούν για λιγότερο από 12 χρόνια με σημείο αναφοράς την 1η </w:t>
      </w:r>
      <w:r>
        <w:t>Ιανουαρίου</w:t>
      </w:r>
      <w:r w:rsidRPr="00CB1B45">
        <w:t xml:space="preserve"> 2014, επεκτείνεται αυτοδίκαια η σύμβαση </w:t>
      </w:r>
      <w:r>
        <w:t xml:space="preserve">πώλησης και η σύμβαση συμψηφισμού του </w:t>
      </w:r>
      <w:r w:rsidRPr="00A06551">
        <w:t xml:space="preserve">«ειδικού προγράμματος ανάπτυξης </w:t>
      </w:r>
      <w:proofErr w:type="spellStart"/>
      <w:r w:rsidRPr="00A06551">
        <w:t>φωτοβολταϊκών</w:t>
      </w:r>
      <w:proofErr w:type="spellEnd"/>
      <w:r w:rsidRPr="00A06551">
        <w:t xml:space="preserve"> στα κτίρια»</w:t>
      </w:r>
      <w:r>
        <w:t xml:space="preserve">, </w:t>
      </w:r>
      <w:r w:rsidRPr="00CB1B45">
        <w:t xml:space="preserve">κατά 5 χρόνια και για ίσο χρόνο οι απαιτούμενες άδειες παραγωγής και λειτουργίας και για εγκατεστημένη ισχύ ίση με την ισχύ κατά την 1η </w:t>
      </w:r>
      <w:r>
        <w:t>Ιανουαρίου</w:t>
      </w:r>
      <w:r w:rsidRPr="00CB1B45">
        <w:t xml:space="preserve"> 2014. Στους παραγωγούς των σταθμών του προηγούμενου εδαφίου κατά το διάστημα επέκτασης της σύμβασης πώλησης δίδονται οι δυνατότητες:</w:t>
      </w:r>
    </w:p>
    <w:p w:rsidR="00FF2AB3" w:rsidRPr="00CB1B45" w:rsidRDefault="00FF2AB3" w:rsidP="00FF2AB3">
      <w:pPr>
        <w:pStyle w:val="af0"/>
        <w:numPr>
          <w:ilvl w:val="0"/>
          <w:numId w:val="20"/>
        </w:numPr>
        <w:tabs>
          <w:tab w:val="left" w:pos="1911"/>
        </w:tabs>
        <w:contextualSpacing/>
        <w:jc w:val="both"/>
      </w:pPr>
      <w:r w:rsidRPr="00CB1B45">
        <w:t>Πώλησης της παραγόμενης ενέργειας με όρους λειτουργίας συστήματος και αγοράς.</w:t>
      </w:r>
    </w:p>
    <w:p w:rsidR="00FF2AB3" w:rsidRPr="00CB1B45" w:rsidRDefault="00FF2AB3" w:rsidP="00FF2AB3">
      <w:pPr>
        <w:pStyle w:val="af0"/>
        <w:numPr>
          <w:ilvl w:val="0"/>
          <w:numId w:val="20"/>
        </w:numPr>
        <w:tabs>
          <w:tab w:val="left" w:pos="1911"/>
        </w:tabs>
        <w:contextualSpacing/>
        <w:jc w:val="both"/>
        <w:rPr>
          <w:rFonts w:cs="Arial"/>
          <w:color w:val="222222"/>
          <w:lang w:eastAsia="el-GR"/>
        </w:rPr>
      </w:pPr>
      <w:r w:rsidRPr="00CB1B45">
        <w:t>Πώλησης της παραγόμενης ενέργειας κατά προτεραιότητα και με τιμή που καθορίζεται σε 80 €/</w:t>
      </w:r>
      <w:proofErr w:type="spellStart"/>
      <w:r w:rsidRPr="00CB1B45">
        <w:rPr>
          <w:lang w:val="en-US"/>
        </w:rPr>
        <w:t>MWh</w:t>
      </w:r>
      <w:proofErr w:type="spellEnd"/>
      <w:r w:rsidRPr="00CB1B45">
        <w:t xml:space="preserve">, για μέγιστη ετήσια ποσότητα ενέργειας που υπολογίζεται από τη μαθηματική σχέση: </w:t>
      </w:r>
    </w:p>
    <w:p w:rsidR="00FF2AB3" w:rsidRPr="00CB1B45" w:rsidRDefault="00FF2AB3" w:rsidP="00FF2AB3">
      <w:pPr>
        <w:tabs>
          <w:tab w:val="left" w:pos="1911"/>
        </w:tabs>
        <w:ind w:left="360"/>
        <w:rPr>
          <w:rFonts w:cs="Arial"/>
          <w:color w:val="222222"/>
          <w:lang w:eastAsia="el-GR"/>
        </w:rPr>
      </w:pPr>
      <w:r w:rsidRPr="00CB1B45">
        <w:t>Ενέργεια</w:t>
      </w:r>
      <w:r w:rsidRPr="00CB1B45">
        <w:rPr>
          <w:rFonts w:cs="Arial"/>
          <w:color w:val="222222"/>
          <w:lang w:eastAsia="el-GR"/>
        </w:rPr>
        <w:t xml:space="preserve"> (K</w:t>
      </w:r>
      <w:r w:rsidRPr="00CB1B45">
        <w:rPr>
          <w:rFonts w:cs="Arial"/>
          <w:color w:val="222222"/>
          <w:lang w:val="en-US" w:eastAsia="el-GR"/>
        </w:rPr>
        <w:t>W</w:t>
      </w:r>
      <w:r w:rsidRPr="00CB1B45">
        <w:rPr>
          <w:rFonts w:cs="Arial"/>
          <w:color w:val="222222"/>
          <w:lang w:eastAsia="el-GR"/>
        </w:rPr>
        <w:t>h) = Εγκατεστημένη Ισχύς (K</w:t>
      </w:r>
      <w:r w:rsidRPr="00CB1B45">
        <w:rPr>
          <w:rFonts w:cs="Arial"/>
          <w:color w:val="222222"/>
          <w:lang w:val="en-US" w:eastAsia="el-GR"/>
        </w:rPr>
        <w:t>W</w:t>
      </w:r>
      <w:r w:rsidRPr="00CB1B45">
        <w:rPr>
          <w:rFonts w:cs="Arial"/>
          <w:color w:val="222222"/>
          <w:lang w:eastAsia="el-GR"/>
        </w:rPr>
        <w:t>) X Συντελεστής Απόδοσης (K</w:t>
      </w:r>
      <w:r w:rsidRPr="00CB1B45">
        <w:rPr>
          <w:rFonts w:cs="Arial"/>
          <w:color w:val="222222"/>
          <w:lang w:val="en-US" w:eastAsia="el-GR"/>
        </w:rPr>
        <w:t>W</w:t>
      </w:r>
      <w:r w:rsidRPr="00CB1B45">
        <w:rPr>
          <w:rFonts w:cs="Arial"/>
          <w:color w:val="222222"/>
          <w:lang w:eastAsia="el-GR"/>
        </w:rPr>
        <w:t>h/K</w:t>
      </w:r>
      <w:r w:rsidRPr="00CB1B45">
        <w:rPr>
          <w:rFonts w:cs="Arial"/>
          <w:color w:val="222222"/>
          <w:lang w:val="en-US" w:eastAsia="el-GR"/>
        </w:rPr>
        <w:t>W</w:t>
      </w:r>
      <w:r w:rsidRPr="00CB1B45">
        <w:rPr>
          <w:rFonts w:cs="Arial"/>
          <w:color w:val="222222"/>
          <w:lang w:eastAsia="el-GR"/>
        </w:rPr>
        <w:t>).</w:t>
      </w:r>
    </w:p>
    <w:p w:rsidR="00FF2AB3" w:rsidRPr="00CB1B45" w:rsidRDefault="00FF2AB3" w:rsidP="00FF2AB3">
      <w:pPr>
        <w:tabs>
          <w:tab w:val="left" w:pos="1911"/>
        </w:tabs>
        <w:ind w:left="360"/>
        <w:rPr>
          <w:rFonts w:cs="Arial"/>
          <w:color w:val="222222"/>
          <w:lang w:eastAsia="el-GR"/>
        </w:rPr>
      </w:pPr>
      <w:r w:rsidRPr="00CB1B45">
        <w:rPr>
          <w:rFonts w:cs="Arial"/>
          <w:color w:val="222222"/>
          <w:lang w:eastAsia="el-GR"/>
        </w:rPr>
        <w:t>Ο Συντελεστής Απόδοσης ανά τεχνολογία αποτυπώνεται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2080"/>
      </w:tblGrid>
      <w:tr w:rsidR="00FF2AB3" w:rsidRPr="00CB1B45" w:rsidTr="00FF2AB3">
        <w:trPr>
          <w:jc w:val="center"/>
        </w:trPr>
        <w:tc>
          <w:tcPr>
            <w:tcW w:w="4549" w:type="dxa"/>
            <w:vAlign w:val="center"/>
          </w:tcPr>
          <w:p w:rsidR="00FF2AB3" w:rsidRPr="00CB1B45" w:rsidRDefault="00FF2AB3" w:rsidP="00FF2AB3">
            <w:pPr>
              <w:tabs>
                <w:tab w:val="left" w:pos="1911"/>
              </w:tabs>
              <w:spacing w:line="240" w:lineRule="auto"/>
              <w:jc w:val="center"/>
            </w:pPr>
            <w:r w:rsidRPr="00CB1B45">
              <w:t>ΤΕΧΝΟΛΟΓΙΑ</w:t>
            </w:r>
          </w:p>
        </w:tc>
        <w:tc>
          <w:tcPr>
            <w:tcW w:w="2080" w:type="dxa"/>
          </w:tcPr>
          <w:p w:rsidR="00FF2AB3" w:rsidRPr="00CB1B45" w:rsidRDefault="00FF2AB3" w:rsidP="00FF2AB3">
            <w:pPr>
              <w:tabs>
                <w:tab w:val="left" w:pos="1911"/>
              </w:tabs>
              <w:spacing w:line="240" w:lineRule="auto"/>
              <w:jc w:val="center"/>
              <w:rPr>
                <w:lang w:val="en-US"/>
              </w:rPr>
            </w:pPr>
            <w:r w:rsidRPr="00CB1B45">
              <w:t>Συντελεστής Απόδοσης (</w:t>
            </w:r>
            <w:r w:rsidRPr="00CB1B45">
              <w:rPr>
                <w:lang w:val="en-US"/>
              </w:rPr>
              <w:t>kWh/kW)</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 xml:space="preserve">Φ/Β σταθμοί στο </w:t>
            </w:r>
            <w:proofErr w:type="spellStart"/>
            <w:r w:rsidRPr="00CB1B45">
              <w:t>Διασυν</w:t>
            </w:r>
            <w:proofErr w:type="spellEnd"/>
            <w:r w:rsidRPr="00CB1B45">
              <w:t>/</w:t>
            </w:r>
            <w:proofErr w:type="spellStart"/>
            <w:r w:rsidRPr="00CB1B45">
              <w:t>νο</w:t>
            </w:r>
            <w:proofErr w:type="spellEnd"/>
            <w:r w:rsidRPr="00CB1B45">
              <w:t xml:space="preserve"> Σύστημα </w:t>
            </w:r>
          </w:p>
        </w:tc>
        <w:tc>
          <w:tcPr>
            <w:tcW w:w="2080" w:type="dxa"/>
          </w:tcPr>
          <w:p w:rsidR="00FF2AB3" w:rsidRPr="00CB1B45" w:rsidRDefault="00FF2AB3" w:rsidP="00FF2AB3">
            <w:pPr>
              <w:tabs>
                <w:tab w:val="left" w:pos="1911"/>
              </w:tabs>
              <w:spacing w:line="240" w:lineRule="auto"/>
              <w:jc w:val="center"/>
            </w:pPr>
            <w:r w:rsidRPr="00CB1B45">
              <w:t>1500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 xml:space="preserve">Φ/Β σταθμοί στο Μη </w:t>
            </w:r>
            <w:proofErr w:type="spellStart"/>
            <w:r w:rsidRPr="00CB1B45">
              <w:t>Διασυν</w:t>
            </w:r>
            <w:proofErr w:type="spellEnd"/>
            <w:r w:rsidRPr="00CB1B45">
              <w:t>/</w:t>
            </w:r>
            <w:proofErr w:type="spellStart"/>
            <w:r w:rsidRPr="00CB1B45">
              <w:t>νο</w:t>
            </w:r>
            <w:proofErr w:type="spellEnd"/>
            <w:r w:rsidRPr="00CB1B45">
              <w:t xml:space="preserve"> Σύστημα</w:t>
            </w:r>
          </w:p>
        </w:tc>
        <w:tc>
          <w:tcPr>
            <w:tcW w:w="2080" w:type="dxa"/>
          </w:tcPr>
          <w:p w:rsidR="00FF2AB3" w:rsidRPr="00CB1B45" w:rsidRDefault="00FF2AB3" w:rsidP="00FF2AB3">
            <w:pPr>
              <w:tabs>
                <w:tab w:val="left" w:pos="1911"/>
              </w:tabs>
              <w:spacing w:line="240" w:lineRule="auto"/>
              <w:jc w:val="center"/>
            </w:pPr>
            <w:r w:rsidRPr="00CB1B45">
              <w:t>1700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 xml:space="preserve">Φ/Β σταθμοί προγράμματος στεγών (&lt;=10 </w:t>
            </w:r>
            <w:r w:rsidRPr="00CB1B45">
              <w:rPr>
                <w:lang w:val="en-US"/>
              </w:rPr>
              <w:t>kW</w:t>
            </w:r>
            <w:r w:rsidRPr="00CB1B45">
              <w:t>)</w:t>
            </w:r>
          </w:p>
        </w:tc>
        <w:tc>
          <w:tcPr>
            <w:tcW w:w="2080" w:type="dxa"/>
          </w:tcPr>
          <w:p w:rsidR="00FF2AB3" w:rsidRPr="00CB1B45" w:rsidRDefault="00FF2AB3" w:rsidP="00FF2AB3">
            <w:pPr>
              <w:tabs>
                <w:tab w:val="left" w:pos="1911"/>
              </w:tabs>
              <w:spacing w:line="240" w:lineRule="auto"/>
              <w:jc w:val="center"/>
            </w:pPr>
            <w:r w:rsidRPr="00CB1B45">
              <w:t>1400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 xml:space="preserve">Αιολικοί σταθμοί στο </w:t>
            </w:r>
            <w:proofErr w:type="spellStart"/>
            <w:r w:rsidRPr="00CB1B45">
              <w:t>Διασυν</w:t>
            </w:r>
            <w:proofErr w:type="spellEnd"/>
            <w:r w:rsidRPr="00CB1B45">
              <w:t>/</w:t>
            </w:r>
            <w:proofErr w:type="spellStart"/>
            <w:r w:rsidRPr="00CB1B45">
              <w:t>νο</w:t>
            </w:r>
            <w:proofErr w:type="spellEnd"/>
            <w:r w:rsidRPr="00CB1B45">
              <w:t xml:space="preserve"> Σύστημα</w:t>
            </w:r>
          </w:p>
        </w:tc>
        <w:tc>
          <w:tcPr>
            <w:tcW w:w="2080" w:type="dxa"/>
          </w:tcPr>
          <w:p w:rsidR="00FF2AB3" w:rsidRPr="00CB1B45" w:rsidRDefault="00FF2AB3" w:rsidP="00FF2AB3">
            <w:pPr>
              <w:tabs>
                <w:tab w:val="left" w:pos="1911"/>
              </w:tabs>
              <w:spacing w:line="240" w:lineRule="auto"/>
              <w:jc w:val="center"/>
            </w:pPr>
            <w:r w:rsidRPr="00CB1B45">
              <w:t>2200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 xml:space="preserve">Αιολικοί σταθμοί στο Μη </w:t>
            </w:r>
            <w:proofErr w:type="spellStart"/>
            <w:r w:rsidRPr="00CB1B45">
              <w:t>Διασυν</w:t>
            </w:r>
            <w:proofErr w:type="spellEnd"/>
            <w:r w:rsidRPr="00CB1B45">
              <w:t>/</w:t>
            </w:r>
            <w:proofErr w:type="spellStart"/>
            <w:r w:rsidRPr="00CB1B45">
              <w:t>νο</w:t>
            </w:r>
            <w:proofErr w:type="spellEnd"/>
            <w:r w:rsidRPr="00CB1B45">
              <w:t xml:space="preserve"> Σύστημα</w:t>
            </w:r>
          </w:p>
        </w:tc>
        <w:tc>
          <w:tcPr>
            <w:tcW w:w="2080" w:type="dxa"/>
          </w:tcPr>
          <w:p w:rsidR="00FF2AB3" w:rsidRPr="00CB1B45" w:rsidRDefault="00FF2AB3" w:rsidP="00FF2AB3">
            <w:pPr>
              <w:tabs>
                <w:tab w:val="left" w:pos="1911"/>
              </w:tabs>
              <w:spacing w:line="240" w:lineRule="auto"/>
              <w:jc w:val="center"/>
            </w:pPr>
            <w:r w:rsidRPr="00CB1B45">
              <w:t>2500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Μικρά Υδροηλεκτρικά</w:t>
            </w:r>
          </w:p>
        </w:tc>
        <w:tc>
          <w:tcPr>
            <w:tcW w:w="2080" w:type="dxa"/>
          </w:tcPr>
          <w:p w:rsidR="00FF2AB3" w:rsidRPr="00CB1B45" w:rsidRDefault="00FF2AB3" w:rsidP="00FF2AB3">
            <w:pPr>
              <w:tabs>
                <w:tab w:val="left" w:pos="1911"/>
              </w:tabs>
              <w:spacing w:line="240" w:lineRule="auto"/>
              <w:jc w:val="center"/>
            </w:pPr>
            <w:r w:rsidRPr="00CB1B45">
              <w:t>3150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Βιομάζα</w:t>
            </w:r>
          </w:p>
        </w:tc>
        <w:tc>
          <w:tcPr>
            <w:tcW w:w="2080" w:type="dxa"/>
          </w:tcPr>
          <w:p w:rsidR="00FF2AB3" w:rsidRPr="00CB1B45" w:rsidRDefault="00FF2AB3" w:rsidP="00FF2AB3">
            <w:pPr>
              <w:tabs>
                <w:tab w:val="left" w:pos="1911"/>
              </w:tabs>
              <w:spacing w:line="240" w:lineRule="auto"/>
              <w:jc w:val="center"/>
            </w:pPr>
            <w:r w:rsidRPr="00CB1B45">
              <w:t>7800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Αέρια από ΧΥΤΑ</w:t>
            </w:r>
          </w:p>
        </w:tc>
        <w:tc>
          <w:tcPr>
            <w:tcW w:w="2080" w:type="dxa"/>
          </w:tcPr>
          <w:p w:rsidR="00FF2AB3" w:rsidRPr="00CB1B45" w:rsidRDefault="00FF2AB3" w:rsidP="00FF2AB3">
            <w:pPr>
              <w:tabs>
                <w:tab w:val="left" w:pos="1911"/>
              </w:tabs>
              <w:spacing w:line="240" w:lineRule="auto"/>
              <w:jc w:val="center"/>
            </w:pPr>
            <w:r w:rsidRPr="00CB1B45">
              <w:t>6500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r w:rsidRPr="00CB1B45">
              <w:t>Βιοαέριο</w:t>
            </w:r>
          </w:p>
        </w:tc>
        <w:tc>
          <w:tcPr>
            <w:tcW w:w="2080" w:type="dxa"/>
          </w:tcPr>
          <w:p w:rsidR="00FF2AB3" w:rsidRPr="00CB1B45" w:rsidRDefault="00FF2AB3" w:rsidP="00FF2AB3">
            <w:pPr>
              <w:tabs>
                <w:tab w:val="left" w:pos="1911"/>
              </w:tabs>
              <w:spacing w:line="240" w:lineRule="auto"/>
              <w:jc w:val="center"/>
            </w:pPr>
            <w:r w:rsidRPr="00CB1B45">
              <w:t>7800</w:t>
            </w:r>
          </w:p>
        </w:tc>
      </w:tr>
      <w:tr w:rsidR="00FF2AB3" w:rsidRPr="00CB1B45" w:rsidTr="00FF2AB3">
        <w:trPr>
          <w:jc w:val="center"/>
        </w:trPr>
        <w:tc>
          <w:tcPr>
            <w:tcW w:w="4549" w:type="dxa"/>
          </w:tcPr>
          <w:p w:rsidR="00FF2AB3" w:rsidRPr="00CB1B45" w:rsidRDefault="00FF2AB3" w:rsidP="00FF2AB3">
            <w:pPr>
              <w:tabs>
                <w:tab w:val="left" w:pos="1911"/>
              </w:tabs>
              <w:spacing w:line="240" w:lineRule="auto"/>
            </w:pPr>
            <w:proofErr w:type="spellStart"/>
            <w:r w:rsidRPr="00CB1B45">
              <w:t>Ηλιοθερμικά</w:t>
            </w:r>
            <w:proofErr w:type="spellEnd"/>
            <w:r w:rsidRPr="00CB1B45">
              <w:t xml:space="preserve"> (Με ή χωρίς αποθήκευση)</w:t>
            </w:r>
          </w:p>
        </w:tc>
        <w:tc>
          <w:tcPr>
            <w:tcW w:w="2080" w:type="dxa"/>
          </w:tcPr>
          <w:p w:rsidR="00FF2AB3" w:rsidRPr="00CB1B45" w:rsidRDefault="00FF2AB3" w:rsidP="00FF2AB3">
            <w:pPr>
              <w:tabs>
                <w:tab w:val="left" w:pos="1911"/>
              </w:tabs>
              <w:spacing w:line="240" w:lineRule="auto"/>
              <w:jc w:val="center"/>
            </w:pPr>
            <w:r w:rsidRPr="00CB1B45">
              <w:t>2200</w:t>
            </w:r>
          </w:p>
        </w:tc>
      </w:tr>
    </w:tbl>
    <w:p w:rsidR="00FF2AB3" w:rsidRPr="00A06551" w:rsidRDefault="00FF2AB3" w:rsidP="00FF2AB3">
      <w:pPr>
        <w:tabs>
          <w:tab w:val="left" w:pos="1911"/>
        </w:tabs>
        <w:rPr>
          <w:highlight w:val="yellow"/>
        </w:rPr>
      </w:pPr>
    </w:p>
    <w:p w:rsidR="00FF2AB3" w:rsidRPr="00CB1B45" w:rsidRDefault="00FF2AB3" w:rsidP="00FF2AB3">
      <w:pPr>
        <w:tabs>
          <w:tab w:val="left" w:pos="1911"/>
        </w:tabs>
      </w:pPr>
      <w:r w:rsidRPr="00CB1B45">
        <w:t xml:space="preserve">Η ανωτέρω επιλογή γίνεται με αμετάκλητη δήλωση του παραγωγού στον </w:t>
      </w:r>
      <w:proofErr w:type="spellStart"/>
      <w:r w:rsidRPr="00CB1B45">
        <w:t>ΛΑΓΗΕ</w:t>
      </w:r>
      <w:proofErr w:type="spellEnd"/>
      <w:r w:rsidRPr="00CB1B45">
        <w:t xml:space="preserve"> ή τον </w:t>
      </w:r>
      <w:proofErr w:type="spellStart"/>
      <w:r w:rsidRPr="00CB1B45">
        <w:t>ΔΕΔΔΗΕ</w:t>
      </w:r>
      <w:proofErr w:type="spellEnd"/>
      <w:r w:rsidRPr="00CB1B45">
        <w:t>, κατά περίπτωση, η οποία πρέπει να υποβληθεί τουλάχιστον 6 μήνες πριν την έναρξη επέκτασης της σύμβασης.</w:t>
      </w:r>
    </w:p>
    <w:p w:rsidR="00FF2AB3" w:rsidRPr="00CB1B45" w:rsidRDefault="00FF2AB3" w:rsidP="00FF2AB3">
      <w:pPr>
        <w:tabs>
          <w:tab w:val="left" w:pos="1911"/>
        </w:tabs>
      </w:pPr>
      <w:r w:rsidRPr="00CB1B45">
        <w:t xml:space="preserve">2. Ο </w:t>
      </w:r>
      <w:proofErr w:type="spellStart"/>
      <w:r w:rsidRPr="00CB1B45">
        <w:t>ΛΑΓΗΕ</w:t>
      </w:r>
      <w:r>
        <w:t>,ο</w:t>
      </w:r>
      <w:proofErr w:type="spellEnd"/>
      <w:r>
        <w:t xml:space="preserve"> </w:t>
      </w:r>
      <w:proofErr w:type="spellStart"/>
      <w:r w:rsidRPr="00CB1B45">
        <w:t>ΔΕΔΔΗΕ</w:t>
      </w:r>
      <w:proofErr w:type="spellEnd"/>
      <w:r w:rsidRPr="00CB1B45">
        <w:t>,</w:t>
      </w:r>
      <w:r>
        <w:t xml:space="preserve"> ή ο Προμηθευτής ηλεκτρικής ενέργειας,</w:t>
      </w:r>
      <w:r w:rsidRPr="00CB1B45">
        <w:t xml:space="preserve"> κατά περίπτωση</w:t>
      </w:r>
      <w:r>
        <w:t>,</w:t>
      </w:r>
      <w:r w:rsidRPr="00CB1B45">
        <w:t xml:space="preserve"> προβαίνουν έως 31.10.2014 σε μονομερή τροποποίηση της σύμβασης </w:t>
      </w:r>
      <w:r>
        <w:t xml:space="preserve">πώλησης/ συμψηφισμού </w:t>
      </w:r>
      <w:r w:rsidRPr="00CB1B45">
        <w:t xml:space="preserve">με την οποία θα προσδιορίζεται η νέα τιμή αποζημίωσης βάσει των διατάξεων του παρόντος νόμου καθώς και η </w:t>
      </w:r>
      <w:r>
        <w:t>δυνατότητα</w:t>
      </w:r>
      <w:r w:rsidRPr="00CB1B45">
        <w:t xml:space="preserve"> επέκταση</w:t>
      </w:r>
      <w:r>
        <w:t>ς</w:t>
      </w:r>
      <w:r w:rsidRPr="00CB1B45">
        <w:t xml:space="preserve"> της σύμβασης </w:t>
      </w:r>
      <w:r>
        <w:t xml:space="preserve">με δήλωση του παραγωγού </w:t>
      </w:r>
      <w:r w:rsidRPr="00CB1B45">
        <w:t xml:space="preserve">και την αποστέλλουν στον αντισυμβαλλόμενο έως 31.12.2014. </w:t>
      </w:r>
    </w:p>
    <w:p w:rsidR="00FF2AB3" w:rsidRDefault="00FF2AB3" w:rsidP="00FF2AB3">
      <w:pPr>
        <w:tabs>
          <w:tab w:val="left" w:pos="1911"/>
        </w:tabs>
        <w:jc w:val="center"/>
        <w:rPr>
          <w:b/>
          <w:highlight w:val="yellow"/>
        </w:rPr>
      </w:pPr>
    </w:p>
    <w:p w:rsidR="00FF2AB3" w:rsidRPr="00CB1B45" w:rsidRDefault="00FF2AB3" w:rsidP="00FC1786">
      <w:pPr>
        <w:pStyle w:val="1"/>
      </w:pPr>
      <w:r w:rsidRPr="00CB1B45">
        <w:t xml:space="preserve">Άρθρο 5 </w:t>
      </w:r>
    </w:p>
    <w:p w:rsidR="00FF2AB3" w:rsidRPr="00CB1B45" w:rsidRDefault="00FF2AB3" w:rsidP="00FC1786">
      <w:pPr>
        <w:pStyle w:val="1"/>
      </w:pPr>
      <w:r w:rsidRPr="00CB1B45">
        <w:t xml:space="preserve">Τροποποίηση άρθρου 13 του </w:t>
      </w:r>
      <w:proofErr w:type="spellStart"/>
      <w:r w:rsidRPr="00CB1B45">
        <w:t>ν.3468</w:t>
      </w:r>
      <w:proofErr w:type="spellEnd"/>
      <w:r w:rsidRPr="00CB1B45">
        <w:t>/2006</w:t>
      </w:r>
    </w:p>
    <w:p w:rsidR="00FF2AB3" w:rsidRPr="00CB1B45" w:rsidRDefault="00FF2AB3" w:rsidP="00FF2AB3">
      <w:pPr>
        <w:pStyle w:val="af0"/>
        <w:numPr>
          <w:ilvl w:val="0"/>
          <w:numId w:val="23"/>
        </w:numPr>
        <w:ind w:left="284" w:hanging="284"/>
        <w:contextualSpacing/>
        <w:jc w:val="both"/>
      </w:pPr>
      <w:r w:rsidRPr="00CB1B45">
        <w:t xml:space="preserve">Η περίπτωση </w:t>
      </w:r>
      <w:proofErr w:type="spellStart"/>
      <w:r w:rsidRPr="00CB1B45">
        <w:t>β΄</w:t>
      </w:r>
      <w:proofErr w:type="spellEnd"/>
      <w:r w:rsidRPr="00CB1B45">
        <w:t xml:space="preserve"> της παραγράφου 1 του άρθρου 13 του </w:t>
      </w:r>
      <w:proofErr w:type="spellStart"/>
      <w:r w:rsidRPr="00CB1B45">
        <w:t>ν.3468</w:t>
      </w:r>
      <w:proofErr w:type="spellEnd"/>
      <w:r w:rsidRPr="00CB1B45">
        <w:t xml:space="preserve">/2006 αντικαθίσταται, για </w:t>
      </w:r>
      <w:r>
        <w:t xml:space="preserve">όλους τους </w:t>
      </w:r>
      <w:r w:rsidRPr="00CB1B45">
        <w:t xml:space="preserve">σταθμούς ΑΠΕ και </w:t>
      </w:r>
      <w:proofErr w:type="spellStart"/>
      <w:r w:rsidRPr="00CB1B45">
        <w:t>ΣΗΘΥΑ</w:t>
      </w:r>
      <w:proofErr w:type="spellEnd"/>
      <w:r w:rsidRPr="00CB1B45">
        <w:t xml:space="preserve"> που τίθενται σε δοκιμαστική λειτουργία ή ενεργοποιείται η σύνδεσή τους μετά την </w:t>
      </w:r>
      <w:r>
        <w:t>έναρξη ισχύος του παρόντος</w:t>
      </w:r>
      <w:r w:rsidRPr="00CB1B45">
        <w:t>, ως εξής:</w:t>
      </w:r>
    </w:p>
    <w:p w:rsidR="00FF2AB3" w:rsidRPr="00CB1B45" w:rsidRDefault="00FF2AB3" w:rsidP="00FF2AB3">
      <w:pPr>
        <w:tabs>
          <w:tab w:val="left" w:pos="1911"/>
        </w:tabs>
      </w:pPr>
      <w:r w:rsidRPr="00CB1B45">
        <w:t xml:space="preserve">«β) Η τιμολόγηση της ηλεκτρικής ενέργειας κατά την προηγούμενη περίπτωση εκτός από την ηλεκτρική ενέργεια που παράγεται από </w:t>
      </w:r>
      <w:proofErr w:type="spellStart"/>
      <w:r w:rsidRPr="00CB1B45">
        <w:t>φωτοβολταϊκούς</w:t>
      </w:r>
      <w:proofErr w:type="spellEnd"/>
      <w:r w:rsidRPr="00CB1B45">
        <w:t xml:space="preserve"> σταθμούς για τους οποίους έχουν οριστεί ξεχωριστές τιμές από το </w:t>
      </w:r>
      <w:proofErr w:type="spellStart"/>
      <w:r w:rsidRPr="00CB1B45">
        <w:t>ν</w:t>
      </w:r>
      <w:r>
        <w:t>.</w:t>
      </w:r>
      <w:r w:rsidRPr="00CB1B45">
        <w:t>3734</w:t>
      </w:r>
      <w:proofErr w:type="spellEnd"/>
      <w:r w:rsidRPr="00CB1B45">
        <w:t>/2009 (Α’ 8), όπως ισχύει, γίνεται με βάση τα στοιχεία του ακόλουθου πίνακα:</w:t>
      </w:r>
    </w:p>
    <w:p w:rsidR="00FF2AB3" w:rsidRPr="00CB1B45" w:rsidRDefault="00FF2AB3" w:rsidP="00FF2AB3">
      <w:pPr>
        <w:tabs>
          <w:tab w:val="left" w:pos="1911"/>
        </w:tabs>
      </w:pPr>
      <w:r w:rsidRPr="00CB1B45">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698"/>
        <w:gridCol w:w="1516"/>
        <w:gridCol w:w="1434"/>
      </w:tblGrid>
      <w:tr w:rsidR="00FF2AB3" w:rsidRPr="00CB1B45" w:rsidTr="00FF2AB3">
        <w:tc>
          <w:tcPr>
            <w:tcW w:w="5495" w:type="dxa"/>
            <w:gridSpan w:val="2"/>
            <w:vAlign w:val="center"/>
          </w:tcPr>
          <w:p w:rsidR="00FF2AB3" w:rsidRPr="00CB1B45" w:rsidRDefault="00FF2AB3" w:rsidP="00FF2AB3">
            <w:pPr>
              <w:rPr>
                <w:rFonts w:ascii="Verdana" w:hAnsi="Verdana"/>
                <w:b/>
                <w:sz w:val="18"/>
                <w:szCs w:val="18"/>
              </w:rPr>
            </w:pPr>
            <w:r w:rsidRPr="00CB1B45">
              <w:rPr>
                <w:rFonts w:ascii="Verdana" w:hAnsi="Verdana"/>
                <w:b/>
                <w:sz w:val="18"/>
                <w:szCs w:val="18"/>
              </w:rPr>
              <w:t>Παραγωγή ηλεκτρικής ενέργειας από:</w:t>
            </w:r>
          </w:p>
        </w:tc>
        <w:tc>
          <w:tcPr>
            <w:tcW w:w="1559" w:type="dxa"/>
          </w:tcPr>
          <w:p w:rsidR="00FF2AB3" w:rsidRPr="00CB1B45" w:rsidRDefault="00FF2AB3" w:rsidP="00FF2AB3">
            <w:pPr>
              <w:jc w:val="center"/>
              <w:rPr>
                <w:rFonts w:ascii="Verdana" w:hAnsi="Verdana"/>
                <w:sz w:val="18"/>
                <w:szCs w:val="18"/>
              </w:rPr>
            </w:pPr>
            <w:r w:rsidRPr="00CB1B45">
              <w:rPr>
                <w:rFonts w:ascii="Verdana" w:hAnsi="Verdana"/>
                <w:sz w:val="18"/>
                <w:szCs w:val="18"/>
              </w:rPr>
              <w:t>Τιμή Ενέργειας (€/</w:t>
            </w:r>
            <w:proofErr w:type="spellStart"/>
            <w:r w:rsidRPr="00CB1B45">
              <w:rPr>
                <w:rFonts w:ascii="Verdana" w:hAnsi="Verdana"/>
                <w:sz w:val="18"/>
                <w:szCs w:val="18"/>
                <w:lang w:val="en-US"/>
              </w:rPr>
              <w:t>MWh</w:t>
            </w:r>
            <w:proofErr w:type="spellEnd"/>
            <w:r w:rsidRPr="00CB1B45">
              <w:rPr>
                <w:rFonts w:ascii="Verdana" w:hAnsi="Verdana"/>
                <w:sz w:val="18"/>
                <w:szCs w:val="18"/>
              </w:rPr>
              <w:t>) χωρίς ενίσχυση</w:t>
            </w:r>
          </w:p>
        </w:tc>
        <w:tc>
          <w:tcPr>
            <w:tcW w:w="1468" w:type="dxa"/>
          </w:tcPr>
          <w:p w:rsidR="00FF2AB3" w:rsidRPr="00CB1B45" w:rsidRDefault="00FF2AB3" w:rsidP="00FF2AB3">
            <w:pPr>
              <w:jc w:val="center"/>
              <w:rPr>
                <w:rFonts w:ascii="Verdana" w:hAnsi="Verdana"/>
                <w:sz w:val="18"/>
                <w:szCs w:val="18"/>
              </w:rPr>
            </w:pPr>
            <w:r w:rsidRPr="00CB1B45">
              <w:rPr>
                <w:rFonts w:ascii="Verdana" w:hAnsi="Verdana"/>
                <w:sz w:val="18"/>
                <w:szCs w:val="18"/>
              </w:rPr>
              <w:t>Τιμή Ενέργειας (€/</w:t>
            </w:r>
            <w:proofErr w:type="spellStart"/>
            <w:r w:rsidRPr="00CB1B45">
              <w:rPr>
                <w:rFonts w:ascii="Verdana" w:hAnsi="Verdana"/>
                <w:sz w:val="18"/>
                <w:szCs w:val="18"/>
                <w:lang w:val="en-US"/>
              </w:rPr>
              <w:t>MWh</w:t>
            </w:r>
            <w:proofErr w:type="spellEnd"/>
            <w:r w:rsidRPr="00CB1B45">
              <w:rPr>
                <w:rFonts w:ascii="Verdana" w:hAnsi="Verdana"/>
                <w:sz w:val="18"/>
                <w:szCs w:val="18"/>
              </w:rPr>
              <w:t>) με ενίσχυση</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 xml:space="preserve"> 1</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Αιολική Ενέργεια που αξιοποιείται με χερσαίες εγκαταστάσεις ισχύος </w:t>
            </w:r>
            <w:proofErr w:type="spellStart"/>
            <w:r w:rsidRPr="00CB1B45">
              <w:rPr>
                <w:rFonts w:ascii="Verdana" w:hAnsi="Verdana" w:cs="Courier New"/>
                <w:sz w:val="18"/>
                <w:szCs w:val="18"/>
              </w:rPr>
              <w:t>≤</w:t>
            </w:r>
            <w:r w:rsidRPr="00CB1B45">
              <w:rPr>
                <w:rFonts w:ascii="Verdana" w:hAnsi="Verdana"/>
                <w:sz w:val="18"/>
                <w:szCs w:val="18"/>
              </w:rPr>
              <w:t>5</w:t>
            </w:r>
            <w:r w:rsidRPr="00CB1B45">
              <w:rPr>
                <w:rFonts w:ascii="Verdana" w:hAnsi="Verdana"/>
                <w:sz w:val="18"/>
                <w:szCs w:val="18"/>
                <w:lang w:val="en-US"/>
              </w:rPr>
              <w:t>MWe</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105</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85</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2</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Αιολική ενέργεια που αξιοποιείται με χερσαίες εγκαταστάσεις ισχύος από 5</w:t>
            </w:r>
            <w:proofErr w:type="spellStart"/>
            <w:r w:rsidRPr="00CB1B45">
              <w:rPr>
                <w:rFonts w:ascii="Verdana" w:hAnsi="Verdana"/>
                <w:sz w:val="18"/>
                <w:szCs w:val="18"/>
                <w:lang w:val="en-US"/>
              </w:rPr>
              <w:t>MWh</w:t>
            </w:r>
            <w:proofErr w:type="spellEnd"/>
            <w:r w:rsidRPr="00CB1B45">
              <w:rPr>
                <w:rFonts w:ascii="Verdana" w:hAnsi="Verdana"/>
                <w:sz w:val="18"/>
                <w:szCs w:val="18"/>
              </w:rPr>
              <w:t xml:space="preserve"> έως και 20</w:t>
            </w:r>
            <w:proofErr w:type="spellStart"/>
            <w:r w:rsidRPr="00CB1B45">
              <w:rPr>
                <w:rFonts w:ascii="Verdana" w:hAnsi="Verdana"/>
                <w:sz w:val="18"/>
                <w:szCs w:val="18"/>
                <w:lang w:val="en-US"/>
              </w:rPr>
              <w:t>MWe</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105</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82</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3</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Αιολική ενέργεια που αξιοποιείται με χερσαίες εγκαταστάσεις ισχύος &gt;20</w:t>
            </w:r>
            <w:proofErr w:type="spellStart"/>
            <w:r w:rsidRPr="00CB1B45">
              <w:rPr>
                <w:rFonts w:ascii="Verdana" w:hAnsi="Verdana"/>
                <w:sz w:val="18"/>
                <w:szCs w:val="18"/>
                <w:lang w:val="en-US"/>
              </w:rPr>
              <w:t>MWe</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100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80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4</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Υδραυλική Ενέργεια που αξιοποιείται με μικρούς υδροηλεκτρικούς σταθμούς με εγκατεστημένη ισχύ </w:t>
            </w:r>
            <w:proofErr w:type="spellStart"/>
            <w:r w:rsidRPr="00CB1B45">
              <w:rPr>
                <w:rFonts w:ascii="Verdana" w:hAnsi="Verdana" w:cs="Courier New"/>
                <w:sz w:val="18"/>
                <w:szCs w:val="18"/>
              </w:rPr>
              <w:t>≤</w:t>
            </w:r>
            <w:r w:rsidRPr="00CB1B45">
              <w:rPr>
                <w:rFonts w:ascii="Verdana" w:hAnsi="Verdana"/>
                <w:sz w:val="18"/>
                <w:szCs w:val="18"/>
              </w:rPr>
              <w:t>1</w:t>
            </w:r>
            <w:r w:rsidRPr="00CB1B45">
              <w:rPr>
                <w:rFonts w:ascii="Verdana" w:hAnsi="Verdana"/>
                <w:sz w:val="18"/>
                <w:szCs w:val="18"/>
                <w:lang w:val="en-US"/>
              </w:rPr>
              <w:t>MWe</w:t>
            </w:r>
            <w:proofErr w:type="spellEnd"/>
          </w:p>
        </w:tc>
        <w:tc>
          <w:tcPr>
            <w:tcW w:w="1559" w:type="dxa"/>
            <w:vAlign w:val="center"/>
          </w:tcPr>
          <w:p w:rsidR="00FF2AB3" w:rsidRPr="00CB1B45" w:rsidRDefault="00FF2AB3" w:rsidP="00FF2AB3">
            <w:pPr>
              <w:jc w:val="center"/>
              <w:rPr>
                <w:rFonts w:ascii="Verdana" w:hAnsi="Verdana"/>
                <w:sz w:val="18"/>
                <w:szCs w:val="18"/>
                <w:lang w:val="en-US"/>
              </w:rPr>
            </w:pPr>
            <w:r w:rsidRPr="00CB1B45">
              <w:rPr>
                <w:rFonts w:ascii="Verdana" w:hAnsi="Verdana"/>
                <w:sz w:val="18"/>
                <w:szCs w:val="18"/>
                <w:lang w:val="en-US"/>
              </w:rPr>
              <w:t>105</w:t>
            </w:r>
          </w:p>
        </w:tc>
        <w:tc>
          <w:tcPr>
            <w:tcW w:w="1468" w:type="dxa"/>
            <w:vAlign w:val="center"/>
          </w:tcPr>
          <w:p w:rsidR="00FF2AB3" w:rsidRPr="00CB1B45" w:rsidRDefault="00FF2AB3" w:rsidP="00FF2AB3">
            <w:pPr>
              <w:jc w:val="center"/>
              <w:rPr>
                <w:rFonts w:ascii="Verdana" w:hAnsi="Verdana"/>
                <w:sz w:val="18"/>
                <w:szCs w:val="18"/>
                <w:lang w:val="en-US"/>
              </w:rPr>
            </w:pPr>
            <w:r w:rsidRPr="00CB1B45">
              <w:rPr>
                <w:rFonts w:ascii="Verdana" w:hAnsi="Verdana"/>
                <w:sz w:val="18"/>
                <w:szCs w:val="18"/>
                <w:lang w:val="en-US"/>
              </w:rPr>
              <w:t>85</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5</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Υδραυλική Ενέργεια που αξιοποιείται με μικρούς υδροηλεκτρικούς σταθμούς με εγκατεστημένη ισχύ από 1</w:t>
            </w:r>
            <w:proofErr w:type="spellStart"/>
            <w:r w:rsidRPr="00CB1B45">
              <w:rPr>
                <w:rFonts w:ascii="Verdana" w:hAnsi="Verdana"/>
                <w:sz w:val="18"/>
                <w:szCs w:val="18"/>
                <w:lang w:val="en-US"/>
              </w:rPr>
              <w:t>MWe</w:t>
            </w:r>
            <w:proofErr w:type="spellEnd"/>
            <w:r w:rsidRPr="00CB1B45">
              <w:rPr>
                <w:rFonts w:ascii="Verdana" w:hAnsi="Verdana"/>
                <w:sz w:val="18"/>
                <w:szCs w:val="18"/>
              </w:rPr>
              <w:t xml:space="preserve"> έως και 5</w:t>
            </w:r>
            <w:proofErr w:type="spellStart"/>
            <w:r w:rsidRPr="00CB1B45">
              <w:rPr>
                <w:rFonts w:ascii="Verdana" w:hAnsi="Verdana"/>
                <w:sz w:val="18"/>
                <w:szCs w:val="18"/>
                <w:lang w:val="en-US"/>
              </w:rPr>
              <w:t>MWe</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105</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83</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6</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Υδραυλική Ενέργεια που αξιοποιείται με μικρούς υδροηλεκτρικούς σταθμούς με εγκατεστημένη ισχύ από 5</w:t>
            </w:r>
            <w:proofErr w:type="spellStart"/>
            <w:r w:rsidRPr="00CB1B45">
              <w:rPr>
                <w:rFonts w:ascii="Verdana" w:hAnsi="Verdana"/>
                <w:sz w:val="18"/>
                <w:szCs w:val="18"/>
                <w:lang w:val="en-US"/>
              </w:rPr>
              <w:t>MWe</w:t>
            </w:r>
            <w:proofErr w:type="spellEnd"/>
            <w:r w:rsidRPr="00CB1B45">
              <w:rPr>
                <w:rFonts w:ascii="Verdana" w:hAnsi="Verdana"/>
                <w:sz w:val="18"/>
                <w:szCs w:val="18"/>
              </w:rPr>
              <w:t xml:space="preserve"> έως και 15</w:t>
            </w:r>
            <w:proofErr w:type="spellStart"/>
            <w:r w:rsidRPr="00CB1B45">
              <w:rPr>
                <w:rFonts w:ascii="Verdana" w:hAnsi="Verdana"/>
                <w:sz w:val="18"/>
                <w:szCs w:val="18"/>
                <w:lang w:val="en-US"/>
              </w:rPr>
              <w:t>MWe</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100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80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7</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Ηλιακή ενέργεια που αξιοποιείται από </w:t>
            </w:r>
            <w:proofErr w:type="spellStart"/>
            <w:r w:rsidRPr="00CB1B45">
              <w:rPr>
                <w:rFonts w:ascii="Verdana" w:hAnsi="Verdana"/>
                <w:sz w:val="18"/>
                <w:szCs w:val="18"/>
              </w:rPr>
              <w:t>ηλιοθερμικούς</w:t>
            </w:r>
            <w:proofErr w:type="spellEnd"/>
            <w:r w:rsidRPr="00CB1B45">
              <w:rPr>
                <w:rFonts w:ascii="Verdana" w:hAnsi="Verdana"/>
                <w:sz w:val="18"/>
                <w:szCs w:val="18"/>
              </w:rPr>
              <w:t xml:space="preserve"> σταθμούς ηλεκτροπαραγωγής χωρίς σύστημα αποθήκευσης </w:t>
            </w:r>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260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200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8</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Ηλιακή ενέργεια που αξιοποιείται από </w:t>
            </w:r>
            <w:proofErr w:type="spellStart"/>
            <w:r w:rsidRPr="00CB1B45">
              <w:rPr>
                <w:rFonts w:ascii="Verdana" w:hAnsi="Verdana"/>
                <w:sz w:val="18"/>
                <w:szCs w:val="18"/>
              </w:rPr>
              <w:t>ηλιοθερμικούς</w:t>
            </w:r>
            <w:proofErr w:type="spellEnd"/>
            <w:r w:rsidRPr="00CB1B45">
              <w:rPr>
                <w:rFonts w:ascii="Verdana" w:hAnsi="Verdana"/>
                <w:sz w:val="18"/>
                <w:szCs w:val="18"/>
              </w:rPr>
              <w:t xml:space="preserve"> σταθμούς ηλεκτροπαραγωγής με σύστημα αποθήκευσης, το οποίο εξασφαλίζει τουλάχιστον 2 ώρες λειτουργίας στο ονομαστικό φορτίο</w:t>
            </w:r>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280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220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9</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Γεωθερμική ενέργεια χαμηλής θερμοκρασίας κατά την παρ. </w:t>
            </w:r>
            <w:proofErr w:type="spellStart"/>
            <w:r w:rsidRPr="00CB1B45">
              <w:rPr>
                <w:rFonts w:ascii="Verdana" w:hAnsi="Verdana"/>
                <w:sz w:val="18"/>
                <w:szCs w:val="18"/>
              </w:rPr>
              <w:t>1στ</w:t>
            </w:r>
            <w:proofErr w:type="spellEnd"/>
            <w:r w:rsidRPr="00CB1B45">
              <w:rPr>
                <w:rFonts w:ascii="Verdana" w:hAnsi="Verdana"/>
                <w:sz w:val="18"/>
                <w:szCs w:val="18"/>
              </w:rPr>
              <w:t xml:space="preserve"> του άρθρου 2 του νόμου 3175/2003 (Α’ 207)</w:t>
            </w:r>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143</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130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10</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Γεωθερμική ενέργεια υψηλής θερμοκρασίας κατά την παρ. </w:t>
            </w:r>
            <w:proofErr w:type="spellStart"/>
            <w:r w:rsidRPr="00CB1B45">
              <w:rPr>
                <w:rFonts w:ascii="Verdana" w:hAnsi="Verdana"/>
                <w:sz w:val="18"/>
                <w:szCs w:val="18"/>
              </w:rPr>
              <w:t>1στ</w:t>
            </w:r>
            <w:proofErr w:type="spellEnd"/>
            <w:r w:rsidRPr="00CB1B45">
              <w:rPr>
                <w:rFonts w:ascii="Verdana" w:hAnsi="Verdana"/>
                <w:sz w:val="18"/>
                <w:szCs w:val="18"/>
              </w:rPr>
              <w:t xml:space="preserve"> του άρθρου 2 του νόμου 3175/2003 (Α’ 207)</w:t>
            </w:r>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110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100</w:t>
            </w:r>
          </w:p>
        </w:tc>
      </w:tr>
      <w:tr w:rsidR="00FF2AB3" w:rsidRPr="00CB1B45" w:rsidTr="00FF2AB3">
        <w:trPr>
          <w:trHeight w:val="1531"/>
        </w:trPr>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11</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Βιομάζα (ή </w:t>
            </w:r>
            <w:proofErr w:type="spellStart"/>
            <w:r w:rsidRPr="00CB1B45">
              <w:rPr>
                <w:rFonts w:ascii="Verdana" w:hAnsi="Verdana"/>
                <w:sz w:val="18"/>
                <w:szCs w:val="18"/>
              </w:rPr>
              <w:t>βιορευστά</w:t>
            </w:r>
            <w:proofErr w:type="spellEnd"/>
            <w:r w:rsidRPr="00CB1B45">
              <w:rPr>
                <w:rFonts w:ascii="Verdana" w:hAnsi="Verdana"/>
                <w:sz w:val="18"/>
                <w:szCs w:val="18"/>
              </w:rPr>
              <w:t xml:space="preserve">) που αξιοποιείται μέσω θερμικών διεργασιών (καύση, αεριοποίηση, πυρόλυση), από σταθμούς με εγκατεστημένη ισχύ </w:t>
            </w:r>
            <w:proofErr w:type="spellStart"/>
            <w:r w:rsidRPr="00CB1B45">
              <w:rPr>
                <w:rFonts w:ascii="Verdana" w:hAnsi="Verdana" w:cs="Courier New"/>
                <w:sz w:val="18"/>
                <w:szCs w:val="18"/>
              </w:rPr>
              <w:t>≤1MW</w:t>
            </w:r>
            <w:proofErr w:type="spellEnd"/>
            <w:r w:rsidRPr="00CB1B45">
              <w:rPr>
                <w:rFonts w:ascii="Verdana" w:hAnsi="Verdana" w:cs="Courier New"/>
                <w:sz w:val="18"/>
                <w:szCs w:val="18"/>
              </w:rPr>
              <w:t xml:space="preserve"> (εξαιρουμένου του </w:t>
            </w:r>
            <w:proofErr w:type="spellStart"/>
            <w:r w:rsidRPr="00CB1B45">
              <w:rPr>
                <w:rFonts w:ascii="Verdana" w:hAnsi="Verdana" w:cs="Courier New"/>
                <w:sz w:val="18"/>
                <w:szCs w:val="18"/>
              </w:rPr>
              <w:t>βιοαποδομήσιμου</w:t>
            </w:r>
            <w:proofErr w:type="spellEnd"/>
            <w:r w:rsidRPr="00CB1B45">
              <w:rPr>
                <w:rFonts w:ascii="Verdana" w:hAnsi="Verdana" w:cs="Courier New"/>
                <w:sz w:val="18"/>
                <w:szCs w:val="18"/>
              </w:rPr>
              <w:t xml:space="preserve"> κλάσματος αστικών αποβλήτων)</w:t>
            </w:r>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198</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180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12</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Βιομάζα (ή </w:t>
            </w:r>
            <w:proofErr w:type="spellStart"/>
            <w:r w:rsidRPr="00CB1B45">
              <w:rPr>
                <w:rFonts w:ascii="Verdana" w:hAnsi="Verdana"/>
                <w:sz w:val="18"/>
                <w:szCs w:val="18"/>
              </w:rPr>
              <w:t>βιορευστά</w:t>
            </w:r>
            <w:proofErr w:type="spellEnd"/>
            <w:r w:rsidRPr="00CB1B45">
              <w:rPr>
                <w:rFonts w:ascii="Verdana" w:hAnsi="Verdana"/>
                <w:sz w:val="18"/>
                <w:szCs w:val="18"/>
              </w:rPr>
              <w:t xml:space="preserve">) που αξιοποιείται μέσω θερμικών διεργασιών (καύση, αεριοποίηση, πυρόλυση), από σταθμούς με εγκατεστημένη ισχύ από </w:t>
            </w:r>
            <w:proofErr w:type="spellStart"/>
            <w:r w:rsidRPr="00CB1B45">
              <w:rPr>
                <w:rFonts w:ascii="Verdana" w:hAnsi="Verdana" w:cs="Courier New"/>
                <w:sz w:val="18"/>
                <w:szCs w:val="18"/>
              </w:rPr>
              <w:t>1MW</w:t>
            </w:r>
            <w:proofErr w:type="spellEnd"/>
            <w:r w:rsidRPr="00CB1B45">
              <w:rPr>
                <w:rFonts w:ascii="Verdana" w:hAnsi="Verdana" w:cs="Courier New"/>
                <w:sz w:val="18"/>
                <w:szCs w:val="18"/>
              </w:rPr>
              <w:t xml:space="preserve"> έως και </w:t>
            </w:r>
            <w:proofErr w:type="spellStart"/>
            <w:r w:rsidRPr="00CB1B45">
              <w:rPr>
                <w:rFonts w:ascii="Verdana" w:hAnsi="Verdana" w:cs="Courier New"/>
                <w:sz w:val="18"/>
                <w:szCs w:val="18"/>
              </w:rPr>
              <w:t>5MW</w:t>
            </w:r>
            <w:proofErr w:type="spellEnd"/>
            <w:r w:rsidRPr="00CB1B45">
              <w:rPr>
                <w:rFonts w:ascii="Verdana" w:hAnsi="Verdana" w:cs="Courier New"/>
                <w:sz w:val="18"/>
                <w:szCs w:val="18"/>
              </w:rPr>
              <w:t xml:space="preserve"> (εξαιρουμένου του </w:t>
            </w:r>
            <w:proofErr w:type="spellStart"/>
            <w:r w:rsidRPr="00CB1B45">
              <w:rPr>
                <w:rFonts w:ascii="Verdana" w:hAnsi="Verdana" w:cs="Courier New"/>
                <w:sz w:val="18"/>
                <w:szCs w:val="18"/>
              </w:rPr>
              <w:t>βιοαποδομήσιμου</w:t>
            </w:r>
            <w:proofErr w:type="spellEnd"/>
            <w:r w:rsidRPr="00CB1B45">
              <w:rPr>
                <w:rFonts w:ascii="Verdana" w:hAnsi="Verdana" w:cs="Courier New"/>
                <w:sz w:val="18"/>
                <w:szCs w:val="18"/>
              </w:rPr>
              <w:t xml:space="preserve"> κλάσματος αστικών αποβλήτων)</w:t>
            </w:r>
          </w:p>
        </w:tc>
        <w:tc>
          <w:tcPr>
            <w:tcW w:w="1559" w:type="dxa"/>
            <w:vAlign w:val="center"/>
          </w:tcPr>
          <w:p w:rsidR="00FF2AB3" w:rsidRDefault="00FF2AB3" w:rsidP="00FF2AB3">
            <w:pPr>
              <w:jc w:val="center"/>
              <w:rPr>
                <w:rFonts w:ascii="Verdana" w:hAnsi="Verdana"/>
                <w:sz w:val="18"/>
                <w:szCs w:val="18"/>
              </w:rPr>
            </w:pPr>
            <w:r w:rsidRPr="00CB1B45">
              <w:rPr>
                <w:rFonts w:ascii="Verdana" w:hAnsi="Verdana"/>
                <w:sz w:val="18"/>
                <w:szCs w:val="18"/>
              </w:rPr>
              <w:t>170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155</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13</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Βιομάζα (ή </w:t>
            </w:r>
            <w:proofErr w:type="spellStart"/>
            <w:r w:rsidRPr="00CB1B45">
              <w:rPr>
                <w:rFonts w:ascii="Verdana" w:hAnsi="Verdana"/>
                <w:sz w:val="18"/>
                <w:szCs w:val="18"/>
              </w:rPr>
              <w:t>βιορευστά</w:t>
            </w:r>
            <w:proofErr w:type="spellEnd"/>
            <w:r w:rsidRPr="00CB1B45">
              <w:rPr>
                <w:rFonts w:ascii="Verdana" w:hAnsi="Verdana"/>
                <w:sz w:val="18"/>
                <w:szCs w:val="18"/>
              </w:rPr>
              <w:t>) που αξιοποιείται μέσω θερμικών διεργασιών (καύση, αεριοποίηση, πυρόλυση), από σταθμούς με εγκατεστημένη ισχύ &gt;</w:t>
            </w:r>
            <w:proofErr w:type="spellStart"/>
            <w:r w:rsidRPr="00CB1B45">
              <w:rPr>
                <w:rFonts w:ascii="Verdana" w:hAnsi="Verdana" w:cs="Courier New"/>
                <w:sz w:val="18"/>
                <w:szCs w:val="18"/>
              </w:rPr>
              <w:t>5MW</w:t>
            </w:r>
            <w:proofErr w:type="spellEnd"/>
            <w:r w:rsidRPr="00CB1B45">
              <w:rPr>
                <w:rFonts w:ascii="Verdana" w:hAnsi="Verdana" w:cs="Courier New"/>
                <w:sz w:val="18"/>
                <w:szCs w:val="18"/>
              </w:rPr>
              <w:t xml:space="preserve"> (εξαιρουμένου του </w:t>
            </w:r>
            <w:proofErr w:type="spellStart"/>
            <w:r w:rsidRPr="00CB1B45">
              <w:rPr>
                <w:rFonts w:ascii="Verdana" w:hAnsi="Verdana" w:cs="Courier New"/>
                <w:sz w:val="18"/>
                <w:szCs w:val="18"/>
              </w:rPr>
              <w:t>βιοαποδομήσιμου</w:t>
            </w:r>
            <w:proofErr w:type="spellEnd"/>
            <w:r w:rsidRPr="00CB1B45">
              <w:rPr>
                <w:rFonts w:ascii="Verdana" w:hAnsi="Verdana" w:cs="Courier New"/>
                <w:sz w:val="18"/>
                <w:szCs w:val="18"/>
              </w:rPr>
              <w:t xml:space="preserve"> κλάσματος αστικών αποβλήτων)</w:t>
            </w:r>
          </w:p>
        </w:tc>
        <w:tc>
          <w:tcPr>
            <w:tcW w:w="1559" w:type="dxa"/>
            <w:vAlign w:val="center"/>
          </w:tcPr>
          <w:p w:rsidR="00FF2AB3" w:rsidRDefault="00FF2AB3" w:rsidP="00FF2AB3">
            <w:pPr>
              <w:jc w:val="center"/>
              <w:rPr>
                <w:rFonts w:ascii="Verdana" w:hAnsi="Verdana"/>
                <w:sz w:val="18"/>
                <w:szCs w:val="18"/>
              </w:rPr>
            </w:pPr>
            <w:r w:rsidRPr="00CB1B45">
              <w:rPr>
                <w:rFonts w:ascii="Verdana" w:hAnsi="Verdana"/>
                <w:sz w:val="18"/>
                <w:szCs w:val="18"/>
              </w:rPr>
              <w:t>148</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135</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14</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Αέρια εκλυόμενα από χώρους υγειονομικής ταφής και εγκαταστάσεις βιολογικού καθαρισμού και </w:t>
            </w:r>
            <w:r w:rsidRPr="00CB1B45">
              <w:rPr>
                <w:rFonts w:ascii="Verdana" w:hAnsi="Verdana" w:cs="Courier New"/>
                <w:sz w:val="18"/>
                <w:szCs w:val="18"/>
              </w:rPr>
              <w:t xml:space="preserve">αξιοποιούνται από σταθμούς με εγκατεστημένη ισχύ </w:t>
            </w:r>
            <w:proofErr w:type="spellStart"/>
            <w:r w:rsidRPr="00CB1B45">
              <w:rPr>
                <w:rFonts w:ascii="Verdana" w:hAnsi="Verdana" w:cs="Courier New"/>
                <w:sz w:val="18"/>
                <w:szCs w:val="18"/>
              </w:rPr>
              <w:t>≤2MW</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99</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90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15</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Αέρια εκλυόμενα από χώρους υγειονομικής ταφής και εγκαταστάσεις βιολογικού καθαρισμού και </w:t>
            </w:r>
            <w:r w:rsidRPr="00CB1B45">
              <w:rPr>
                <w:rFonts w:ascii="Verdana" w:hAnsi="Verdana" w:cs="Courier New"/>
                <w:sz w:val="18"/>
                <w:szCs w:val="18"/>
              </w:rPr>
              <w:t xml:space="preserve">αξιοποιούνται από σταθμούς με εγκατεστημένη ισχύ </w:t>
            </w:r>
            <w:r w:rsidRPr="00CB1B45">
              <w:rPr>
                <w:rFonts w:ascii="Verdana" w:hAnsi="Verdana"/>
                <w:sz w:val="18"/>
                <w:szCs w:val="18"/>
              </w:rPr>
              <w:t>&gt;</w:t>
            </w:r>
            <w:proofErr w:type="spellStart"/>
            <w:r w:rsidRPr="00CB1B45">
              <w:rPr>
                <w:rFonts w:ascii="Verdana" w:hAnsi="Verdana" w:cs="Courier New"/>
                <w:sz w:val="18"/>
                <w:szCs w:val="18"/>
              </w:rPr>
              <w:t>2MW</w:t>
            </w:r>
            <w:proofErr w:type="spellEnd"/>
          </w:p>
        </w:tc>
        <w:tc>
          <w:tcPr>
            <w:tcW w:w="1559" w:type="dxa"/>
            <w:vAlign w:val="center"/>
          </w:tcPr>
          <w:p w:rsidR="00FF2AB3" w:rsidRDefault="00FF2AB3" w:rsidP="00FF2AB3">
            <w:pPr>
              <w:jc w:val="center"/>
              <w:rPr>
                <w:rFonts w:ascii="Verdana" w:hAnsi="Verdana"/>
                <w:sz w:val="18"/>
                <w:szCs w:val="18"/>
              </w:rPr>
            </w:pPr>
            <w:r w:rsidRPr="00CB1B45">
              <w:rPr>
                <w:rFonts w:ascii="Verdana" w:hAnsi="Verdana"/>
                <w:sz w:val="18"/>
                <w:szCs w:val="18"/>
              </w:rPr>
              <w:t>8</w:t>
            </w:r>
            <w:r>
              <w:rPr>
                <w:rFonts w:ascii="Verdana" w:hAnsi="Verdana"/>
                <w:sz w:val="18"/>
                <w:szCs w:val="18"/>
              </w:rPr>
              <w:t>6</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78</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16</w:t>
            </w:r>
          </w:p>
        </w:tc>
        <w:tc>
          <w:tcPr>
            <w:tcW w:w="4935" w:type="dxa"/>
          </w:tcPr>
          <w:p w:rsidR="00FF2AB3" w:rsidRPr="00CB1B45" w:rsidRDefault="00FF2AB3" w:rsidP="00FF2AB3">
            <w:pPr>
              <w:rPr>
                <w:rFonts w:ascii="Verdana" w:hAnsi="Verdana"/>
                <w:sz w:val="18"/>
                <w:szCs w:val="18"/>
              </w:rPr>
            </w:pPr>
            <w:r w:rsidRPr="00CB1B45">
              <w:rPr>
                <w:rFonts w:ascii="Verdana" w:hAnsi="Verdana" w:cs="Courier New"/>
                <w:sz w:val="18"/>
                <w:szCs w:val="18"/>
              </w:rPr>
              <w:t xml:space="preserve">Βιοαέριο που προέρχεται από την αναερόβια χώνευση βιομάζας (ενεργειακών καλλιεργειών, </w:t>
            </w:r>
            <w:proofErr w:type="spellStart"/>
            <w:r w:rsidRPr="00CB1B45">
              <w:rPr>
                <w:rFonts w:ascii="Verdana" w:hAnsi="Verdana" w:cs="Courier New"/>
                <w:sz w:val="18"/>
                <w:szCs w:val="18"/>
              </w:rPr>
              <w:t>ενσιρωμάτων</w:t>
            </w:r>
            <w:proofErr w:type="spellEnd"/>
            <w:r w:rsidRPr="00CB1B45">
              <w:rPr>
                <w:rFonts w:ascii="Verdana" w:hAnsi="Verdana" w:cs="Courier New"/>
                <w:sz w:val="18"/>
                <w:szCs w:val="18"/>
              </w:rPr>
              <w:t xml:space="preserve"> χλωρής νομής γεωργικών καλλιεργειών, κτηνοτροφικών και αγροτοβιομηχανικών οργανικών υπολειμμάτων και αποβλήτων, αποβλήτων βρώσιμων ελαίων και λιπών, ληγμένων τροφίμων) και αξιοποιείται από σταθμούς με εγκατεστημένη ισχύ </w:t>
            </w:r>
            <w:proofErr w:type="spellStart"/>
            <w:r w:rsidRPr="00CB1B45">
              <w:rPr>
                <w:rFonts w:ascii="Verdana" w:hAnsi="Verdana" w:cs="Courier New"/>
                <w:sz w:val="18"/>
                <w:szCs w:val="18"/>
              </w:rPr>
              <w:t>≤3MW</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198</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180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17</w:t>
            </w:r>
          </w:p>
        </w:tc>
        <w:tc>
          <w:tcPr>
            <w:tcW w:w="4935" w:type="dxa"/>
          </w:tcPr>
          <w:p w:rsidR="00FF2AB3" w:rsidRPr="00CB1B45" w:rsidRDefault="00FF2AB3" w:rsidP="00FF2AB3">
            <w:pPr>
              <w:rPr>
                <w:rFonts w:ascii="Verdana" w:hAnsi="Verdana"/>
                <w:sz w:val="18"/>
                <w:szCs w:val="18"/>
              </w:rPr>
            </w:pPr>
            <w:r w:rsidRPr="00CB1B45">
              <w:rPr>
                <w:rFonts w:ascii="Verdana" w:hAnsi="Verdana" w:cs="Courier New"/>
                <w:sz w:val="18"/>
                <w:szCs w:val="18"/>
              </w:rPr>
              <w:t xml:space="preserve">Βιοαέριο που προέρχεται από την αναερόβια χώνευση βιομάζας (ενεργειακών καλλιεργειών, </w:t>
            </w:r>
            <w:proofErr w:type="spellStart"/>
            <w:r w:rsidRPr="00CB1B45">
              <w:rPr>
                <w:rFonts w:ascii="Verdana" w:hAnsi="Verdana" w:cs="Courier New"/>
                <w:sz w:val="18"/>
                <w:szCs w:val="18"/>
              </w:rPr>
              <w:t>ενσιρωμάτων</w:t>
            </w:r>
            <w:proofErr w:type="spellEnd"/>
            <w:r w:rsidRPr="00CB1B45">
              <w:rPr>
                <w:rFonts w:ascii="Verdana" w:hAnsi="Verdana" w:cs="Courier New"/>
                <w:sz w:val="18"/>
                <w:szCs w:val="18"/>
              </w:rPr>
              <w:t xml:space="preserve"> χλωρής νομής γεωργικών καλλιεργειών, κτηνοτροφικών και αγροτοβιομηχανικών οργανικών υπολειμμάτων και αποβλήτων, αποβλήτων βρώσιμων ελαίων και λιπών, ληγμένων τροφίμων) και αξιοποιείται από σταθμούς με εγκατεστημένη ισχύ &gt;</w:t>
            </w:r>
            <w:proofErr w:type="spellStart"/>
            <w:r w:rsidRPr="00CB1B45">
              <w:rPr>
                <w:rFonts w:ascii="Verdana" w:hAnsi="Verdana" w:cs="Courier New"/>
                <w:sz w:val="18"/>
                <w:szCs w:val="18"/>
              </w:rPr>
              <w:t>3MW</w:t>
            </w:r>
            <w:proofErr w:type="spellEnd"/>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187</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170</w:t>
            </w:r>
          </w:p>
        </w:tc>
      </w:tr>
      <w:tr w:rsidR="00FF2AB3" w:rsidRPr="00CB1B45" w:rsidTr="00FF2AB3">
        <w:tc>
          <w:tcPr>
            <w:tcW w:w="560" w:type="dxa"/>
          </w:tcPr>
          <w:p w:rsidR="00FF2AB3" w:rsidRPr="00CB1B45" w:rsidRDefault="00FF2AB3" w:rsidP="00FF2AB3">
            <w:pPr>
              <w:rPr>
                <w:rFonts w:ascii="Verdana" w:hAnsi="Verdana"/>
                <w:sz w:val="18"/>
                <w:szCs w:val="18"/>
              </w:rPr>
            </w:pPr>
            <w:r w:rsidRPr="00CB1B45">
              <w:rPr>
                <w:rFonts w:ascii="Verdana" w:hAnsi="Verdana"/>
                <w:sz w:val="18"/>
                <w:szCs w:val="18"/>
              </w:rPr>
              <w:t>18</w:t>
            </w:r>
          </w:p>
        </w:tc>
        <w:tc>
          <w:tcPr>
            <w:tcW w:w="4935" w:type="dxa"/>
          </w:tcPr>
          <w:p w:rsidR="00FF2AB3" w:rsidRPr="00CB1B45" w:rsidRDefault="00FF2AB3" w:rsidP="00FF2AB3">
            <w:pPr>
              <w:rPr>
                <w:rFonts w:ascii="Verdana" w:hAnsi="Verdana"/>
                <w:sz w:val="18"/>
                <w:szCs w:val="18"/>
              </w:rPr>
            </w:pPr>
            <w:r w:rsidRPr="00CB1B45">
              <w:rPr>
                <w:rFonts w:ascii="Verdana" w:hAnsi="Verdana"/>
                <w:sz w:val="18"/>
                <w:szCs w:val="18"/>
              </w:rPr>
              <w:t xml:space="preserve">Λοιπές Α.Π.Ε. εκτός </w:t>
            </w:r>
            <w:proofErr w:type="spellStart"/>
            <w:r w:rsidRPr="00CB1B45">
              <w:rPr>
                <w:rFonts w:ascii="Verdana" w:hAnsi="Verdana"/>
                <w:sz w:val="18"/>
                <w:szCs w:val="18"/>
              </w:rPr>
              <w:t>Φωτοβολταϊκών</w:t>
            </w:r>
            <w:proofErr w:type="spellEnd"/>
            <w:r w:rsidRPr="00CB1B45">
              <w:rPr>
                <w:rFonts w:ascii="Verdana" w:hAnsi="Verdana"/>
                <w:sz w:val="18"/>
                <w:szCs w:val="18"/>
              </w:rPr>
              <w:t xml:space="preserve"> (συμπεριλαμβανομένων και των σταθμών ενεργειακής αξιοποίησης του </w:t>
            </w:r>
            <w:proofErr w:type="spellStart"/>
            <w:r w:rsidRPr="00CB1B45">
              <w:rPr>
                <w:rFonts w:ascii="Verdana" w:hAnsi="Verdana"/>
                <w:sz w:val="18"/>
                <w:szCs w:val="18"/>
              </w:rPr>
              <w:t>βιοαποικοδομήσιμου</w:t>
            </w:r>
            <w:proofErr w:type="spellEnd"/>
            <w:r w:rsidRPr="00CB1B45">
              <w:rPr>
                <w:rFonts w:ascii="Verdana" w:hAnsi="Verdana"/>
                <w:sz w:val="18"/>
                <w:szCs w:val="18"/>
              </w:rPr>
              <w:t xml:space="preserve"> κλάσματος αστικών αποβλήτων που πληρούν τις προδιαγραφές της Ευρωπαϊκής νομοθεσίας όπως εκάστοτε αυτές ισχύουν)</w:t>
            </w:r>
          </w:p>
        </w:tc>
        <w:tc>
          <w:tcPr>
            <w:tcW w:w="1559"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90</w:t>
            </w:r>
          </w:p>
        </w:tc>
        <w:tc>
          <w:tcPr>
            <w:tcW w:w="1468" w:type="dxa"/>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80</w:t>
            </w:r>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sidRPr="00CB1B45">
              <w:rPr>
                <w:rFonts w:ascii="Verdana" w:hAnsi="Verdana"/>
                <w:sz w:val="18"/>
                <w:szCs w:val="18"/>
              </w:rPr>
              <w:t>19</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w:t>
            </w:r>
            <w:r>
              <w:rPr>
                <w:rFonts w:ascii="Verdana" w:hAnsi="Verdana"/>
                <w:sz w:val="18"/>
                <w:szCs w:val="18"/>
              </w:rPr>
              <w:t xml:space="preserve"> </w:t>
            </w:r>
            <w:proofErr w:type="spellStart"/>
            <w:r w:rsidRPr="00CB1B45">
              <w:rPr>
                <w:rFonts w:ascii="Verdana" w:hAnsi="Verdana"/>
                <w:sz w:val="18"/>
                <w:szCs w:val="18"/>
              </w:rPr>
              <w:t>≤1</w:t>
            </w:r>
            <w:proofErr w:type="spellEnd"/>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κατηγορίες (α) ή (γ)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88</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76</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sidRPr="00CB1B45">
              <w:rPr>
                <w:rFonts w:ascii="Verdana" w:hAnsi="Verdana"/>
                <w:sz w:val="18"/>
                <w:szCs w:val="18"/>
              </w:rPr>
              <w:t>20</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w:t>
            </w:r>
            <w:r>
              <w:rPr>
                <w:rFonts w:ascii="Verdana" w:hAnsi="Verdana"/>
                <w:sz w:val="18"/>
                <w:szCs w:val="18"/>
              </w:rPr>
              <w:t xml:space="preserve">  </w:t>
            </w:r>
            <w:proofErr w:type="spellStart"/>
            <w:r w:rsidRPr="00CB1B45">
              <w:rPr>
                <w:rFonts w:ascii="Verdana" w:hAnsi="Verdana"/>
                <w:sz w:val="18"/>
                <w:szCs w:val="18"/>
              </w:rPr>
              <w:t>≤1</w:t>
            </w:r>
            <w:proofErr w:type="spellEnd"/>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λοιπών κατηγοριών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92</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Default="00FF2AB3" w:rsidP="00FF2AB3">
            <w:pPr>
              <w:jc w:val="center"/>
              <w:rPr>
                <w:rFonts w:ascii="Verdana" w:hAnsi="Verdana"/>
                <w:sz w:val="18"/>
                <w:szCs w:val="18"/>
              </w:rPr>
            </w:pPr>
            <w:r w:rsidRPr="00CB1B45">
              <w:rPr>
                <w:rFonts w:ascii="Verdana" w:hAnsi="Verdana"/>
                <w:sz w:val="18"/>
                <w:szCs w:val="18"/>
              </w:rPr>
              <w:t>8</w:t>
            </w:r>
            <w:r>
              <w:rPr>
                <w:rFonts w:ascii="Verdana" w:hAnsi="Verdana"/>
                <w:sz w:val="18"/>
                <w:szCs w:val="18"/>
                <w:lang w:val="en-US"/>
              </w:rPr>
              <w:t>0</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Pr>
                <w:rFonts w:ascii="Verdana" w:hAnsi="Verdana"/>
                <w:sz w:val="18"/>
                <w:szCs w:val="18"/>
              </w:rPr>
              <w:t>21</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 </w:t>
            </w:r>
            <w:r>
              <w:rPr>
                <w:rFonts w:ascii="Verdana" w:hAnsi="Verdana"/>
                <w:sz w:val="18"/>
                <w:szCs w:val="18"/>
              </w:rPr>
              <w:t>&gt;</w:t>
            </w:r>
            <w:r w:rsidRPr="00CB1B45">
              <w:rPr>
                <w:rFonts w:ascii="Verdana" w:hAnsi="Verdana"/>
                <w:sz w:val="18"/>
                <w:szCs w:val="18"/>
              </w:rPr>
              <w:t>1 M</w:t>
            </w:r>
            <w:r w:rsidRPr="00CB1B45">
              <w:rPr>
                <w:rFonts w:ascii="Verdana" w:hAnsi="Verdana"/>
                <w:sz w:val="18"/>
                <w:szCs w:val="18"/>
                <w:lang w:val="en-US"/>
              </w:rPr>
              <w:t>W</w:t>
            </w:r>
            <w:r w:rsidRPr="00CB1B45">
              <w:rPr>
                <w:rFonts w:ascii="Verdana" w:hAnsi="Verdana"/>
                <w:sz w:val="18"/>
                <w:szCs w:val="18"/>
              </w:rPr>
              <w:t xml:space="preserve"> </w:t>
            </w:r>
            <w:r>
              <w:rPr>
                <w:rFonts w:ascii="Verdana" w:hAnsi="Verdana"/>
                <w:sz w:val="18"/>
                <w:szCs w:val="18"/>
              </w:rPr>
              <w:t xml:space="preserve">και </w:t>
            </w:r>
            <w:r w:rsidRPr="00CB1B45">
              <w:rPr>
                <w:rFonts w:ascii="Verdana" w:hAnsi="Verdana"/>
                <w:sz w:val="18"/>
                <w:szCs w:val="18"/>
              </w:rPr>
              <w:t xml:space="preserve">≤ </w:t>
            </w:r>
            <w:r>
              <w:rPr>
                <w:rFonts w:ascii="Verdana" w:hAnsi="Verdana"/>
                <w:sz w:val="18"/>
                <w:szCs w:val="18"/>
              </w:rPr>
              <w:t>5</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κατηγορίες (α) ή (γ)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rPr>
              <w:t>8</w:t>
            </w:r>
            <w:r>
              <w:rPr>
                <w:rFonts w:ascii="Verdana" w:hAnsi="Verdana"/>
                <w:sz w:val="18"/>
                <w:szCs w:val="18"/>
                <w:lang w:val="en-US"/>
              </w:rPr>
              <w:t>0</w:t>
            </w:r>
            <w:r>
              <w:rPr>
                <w:rFonts w:ascii="Verdana" w:hAnsi="Verdana"/>
                <w:sz w:val="18"/>
                <w:szCs w:val="18"/>
              </w:rPr>
              <w:t xml:space="preserve">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Default="00FF2AB3" w:rsidP="00FF2AB3">
            <w:pPr>
              <w:jc w:val="center"/>
              <w:rPr>
                <w:rFonts w:ascii="Verdana" w:hAnsi="Verdana"/>
                <w:sz w:val="18"/>
                <w:szCs w:val="18"/>
              </w:rPr>
            </w:pPr>
            <w:r>
              <w:rPr>
                <w:rFonts w:ascii="Verdana" w:hAnsi="Verdana"/>
                <w:sz w:val="18"/>
                <w:szCs w:val="18"/>
              </w:rPr>
              <w:t>7</w:t>
            </w:r>
            <w:r>
              <w:rPr>
                <w:rFonts w:ascii="Verdana" w:hAnsi="Verdana"/>
                <w:sz w:val="18"/>
                <w:szCs w:val="18"/>
                <w:lang w:val="en-US"/>
              </w:rPr>
              <w:t>0</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Pr>
                <w:rFonts w:ascii="Verdana" w:hAnsi="Verdana"/>
                <w:sz w:val="18"/>
                <w:szCs w:val="18"/>
              </w:rPr>
              <w:t>22</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w:t>
            </w:r>
            <w:r>
              <w:rPr>
                <w:rFonts w:ascii="Verdana" w:hAnsi="Verdana"/>
                <w:sz w:val="18"/>
                <w:szCs w:val="18"/>
              </w:rPr>
              <w:t>ΗΘΥΑ</w:t>
            </w:r>
            <w:proofErr w:type="spellEnd"/>
            <w:r>
              <w:rPr>
                <w:rFonts w:ascii="Verdana" w:hAnsi="Verdana"/>
                <w:sz w:val="18"/>
                <w:szCs w:val="18"/>
              </w:rPr>
              <w:t xml:space="preserve"> με χρήση Φυσικού Αερίου &gt;</w:t>
            </w:r>
            <w:r w:rsidRPr="00CB1B45">
              <w:rPr>
                <w:rFonts w:ascii="Verdana" w:hAnsi="Verdana"/>
                <w:sz w:val="18"/>
                <w:szCs w:val="18"/>
              </w:rPr>
              <w:t>1 M</w:t>
            </w:r>
            <w:r w:rsidRPr="00CB1B45">
              <w:rPr>
                <w:rFonts w:ascii="Verdana" w:hAnsi="Verdana"/>
                <w:sz w:val="18"/>
                <w:szCs w:val="18"/>
                <w:lang w:val="en-US"/>
              </w:rPr>
              <w:t>W</w:t>
            </w:r>
            <w:r w:rsidRPr="00CB1B45">
              <w:rPr>
                <w:rFonts w:ascii="Verdana" w:hAnsi="Verdana"/>
                <w:sz w:val="18"/>
                <w:szCs w:val="18"/>
              </w:rPr>
              <w:t xml:space="preserve"> </w:t>
            </w:r>
            <w:r>
              <w:rPr>
                <w:rFonts w:ascii="Verdana" w:hAnsi="Verdana"/>
                <w:sz w:val="18"/>
                <w:szCs w:val="18"/>
              </w:rPr>
              <w:t xml:space="preserve">και </w:t>
            </w:r>
            <w:r w:rsidRPr="00CB1B45">
              <w:rPr>
                <w:rFonts w:ascii="Verdana" w:hAnsi="Verdana"/>
                <w:sz w:val="18"/>
                <w:szCs w:val="18"/>
              </w:rPr>
              <w:t xml:space="preserve">≤ </w:t>
            </w:r>
            <w:r>
              <w:rPr>
                <w:rFonts w:ascii="Verdana" w:hAnsi="Verdana"/>
                <w:sz w:val="18"/>
                <w:szCs w:val="18"/>
              </w:rPr>
              <w:t>5</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λοιπών κατηγοριών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84</w:t>
            </w:r>
            <w:r>
              <w:rPr>
                <w:rFonts w:ascii="Verdana" w:hAnsi="Verdana"/>
                <w:sz w:val="18"/>
                <w:szCs w:val="18"/>
              </w:rPr>
              <w:t xml:space="preserve">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rPr>
              <w:t>7</w:t>
            </w:r>
            <w:r>
              <w:rPr>
                <w:rFonts w:ascii="Verdana" w:hAnsi="Verdana"/>
                <w:sz w:val="18"/>
                <w:szCs w:val="18"/>
                <w:lang w:val="en-US"/>
              </w:rPr>
              <w:t>4</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Pr>
                <w:rFonts w:ascii="Verdana" w:hAnsi="Verdana"/>
                <w:sz w:val="18"/>
                <w:szCs w:val="18"/>
              </w:rPr>
              <w:t>23</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w:t>
            </w:r>
            <w:r>
              <w:rPr>
                <w:rFonts w:ascii="Verdana" w:hAnsi="Verdana"/>
                <w:sz w:val="18"/>
                <w:szCs w:val="18"/>
              </w:rPr>
              <w:t xml:space="preserve"> &gt;5</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w:t>
            </w:r>
            <w:r>
              <w:rPr>
                <w:rFonts w:ascii="Verdana" w:hAnsi="Verdana"/>
                <w:sz w:val="18"/>
                <w:szCs w:val="18"/>
              </w:rPr>
              <w:t xml:space="preserve">και </w:t>
            </w:r>
            <w:r w:rsidRPr="00CB1B45">
              <w:rPr>
                <w:rFonts w:ascii="Verdana" w:hAnsi="Verdana"/>
                <w:sz w:val="18"/>
                <w:szCs w:val="18"/>
              </w:rPr>
              <w:t xml:space="preserve">≤ </w:t>
            </w:r>
            <w:r>
              <w:rPr>
                <w:rFonts w:ascii="Verdana" w:hAnsi="Verdana"/>
                <w:sz w:val="18"/>
                <w:szCs w:val="18"/>
              </w:rPr>
              <w:t>10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κατηγορίες (α) ή (γ)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74</w:t>
            </w:r>
            <w:r>
              <w:rPr>
                <w:rFonts w:ascii="Verdana" w:hAnsi="Verdana"/>
                <w:sz w:val="18"/>
                <w:szCs w:val="18"/>
              </w:rPr>
              <w:t xml:space="preserve">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 xml:space="preserve">65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Pr>
                <w:rFonts w:ascii="Verdana" w:hAnsi="Verdana"/>
                <w:sz w:val="18"/>
                <w:szCs w:val="18"/>
              </w:rPr>
              <w:t>24</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w:t>
            </w:r>
            <w:r>
              <w:rPr>
                <w:rFonts w:ascii="Verdana" w:hAnsi="Verdana"/>
                <w:sz w:val="18"/>
                <w:szCs w:val="18"/>
              </w:rPr>
              <w:t>ΗΘΥΑ</w:t>
            </w:r>
            <w:proofErr w:type="spellEnd"/>
            <w:r>
              <w:rPr>
                <w:rFonts w:ascii="Verdana" w:hAnsi="Verdana"/>
                <w:sz w:val="18"/>
                <w:szCs w:val="18"/>
              </w:rPr>
              <w:t xml:space="preserve"> με χρήση Φυσικού Αερίου &gt;5</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w:t>
            </w:r>
            <w:r>
              <w:rPr>
                <w:rFonts w:ascii="Verdana" w:hAnsi="Verdana"/>
                <w:sz w:val="18"/>
                <w:szCs w:val="18"/>
              </w:rPr>
              <w:t>και ≤ 10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λοιπών κατηγοριών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78</w:t>
            </w:r>
            <w:r>
              <w:rPr>
                <w:rFonts w:ascii="Verdana" w:hAnsi="Verdana"/>
                <w:sz w:val="18"/>
                <w:szCs w:val="18"/>
              </w:rPr>
              <w:t xml:space="preserve">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70</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sidRPr="00CB1B45">
              <w:rPr>
                <w:rFonts w:ascii="Verdana" w:hAnsi="Verdana"/>
                <w:sz w:val="18"/>
                <w:szCs w:val="18"/>
              </w:rPr>
              <w:t>2</w:t>
            </w:r>
            <w:r>
              <w:rPr>
                <w:rFonts w:ascii="Verdana" w:hAnsi="Verdana"/>
                <w:sz w:val="18"/>
                <w:szCs w:val="18"/>
              </w:rPr>
              <w:t>5</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 &gt; 1</w:t>
            </w:r>
            <w:r>
              <w:rPr>
                <w:rFonts w:ascii="Verdana" w:hAnsi="Verdana"/>
                <w:sz w:val="18"/>
                <w:szCs w:val="18"/>
              </w:rPr>
              <w:t>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και ≤ 3</w:t>
            </w:r>
            <w:r>
              <w:rPr>
                <w:rFonts w:ascii="Verdana" w:hAnsi="Verdana"/>
                <w:sz w:val="18"/>
                <w:szCs w:val="18"/>
              </w:rPr>
              <w:t>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κατηγορίες (α) ή (γ)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6</w:t>
            </w:r>
            <w:r>
              <w:rPr>
                <w:rFonts w:ascii="Verdana" w:hAnsi="Verdana"/>
                <w:sz w:val="18"/>
                <w:szCs w:val="18"/>
              </w:rPr>
              <w:t xml:space="preserve">8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Default="00FF2AB3" w:rsidP="00FF2AB3">
            <w:pPr>
              <w:jc w:val="center"/>
              <w:rPr>
                <w:rFonts w:ascii="Verdana" w:hAnsi="Verdana"/>
                <w:sz w:val="18"/>
                <w:szCs w:val="18"/>
              </w:rPr>
            </w:pPr>
            <w:r>
              <w:rPr>
                <w:rFonts w:ascii="Verdana" w:hAnsi="Verdana"/>
                <w:sz w:val="18"/>
                <w:szCs w:val="18"/>
              </w:rPr>
              <w:t>6</w:t>
            </w:r>
            <w:r>
              <w:rPr>
                <w:rFonts w:ascii="Verdana" w:hAnsi="Verdana"/>
                <w:sz w:val="18"/>
                <w:szCs w:val="18"/>
                <w:lang w:val="en-US"/>
              </w:rPr>
              <w:t>2</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sidRPr="00CB1B45">
              <w:rPr>
                <w:rFonts w:ascii="Verdana" w:hAnsi="Verdana"/>
                <w:sz w:val="18"/>
                <w:szCs w:val="18"/>
              </w:rPr>
              <w:t>2</w:t>
            </w:r>
            <w:r>
              <w:rPr>
                <w:rFonts w:ascii="Verdana" w:hAnsi="Verdana"/>
                <w:sz w:val="18"/>
                <w:szCs w:val="18"/>
              </w:rPr>
              <w:t>6</w:t>
            </w:r>
          </w:p>
        </w:tc>
        <w:tc>
          <w:tcPr>
            <w:tcW w:w="4935"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 &gt; 1</w:t>
            </w:r>
            <w:r>
              <w:rPr>
                <w:rFonts w:ascii="Verdana" w:hAnsi="Verdana"/>
                <w:sz w:val="18"/>
                <w:szCs w:val="18"/>
              </w:rPr>
              <w:t>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και ≤ 3</w:t>
            </w:r>
            <w:r>
              <w:rPr>
                <w:rFonts w:ascii="Verdana" w:hAnsi="Verdana"/>
                <w:sz w:val="18"/>
                <w:szCs w:val="18"/>
              </w:rPr>
              <w:t>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λοιπών κατηγοριών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Pr>
                <w:rFonts w:ascii="Verdana" w:hAnsi="Verdana"/>
                <w:sz w:val="18"/>
                <w:szCs w:val="18"/>
                <w:lang w:val="en-US"/>
              </w:rPr>
              <w:t>7</w:t>
            </w:r>
            <w:r>
              <w:rPr>
                <w:rFonts w:ascii="Verdana" w:hAnsi="Verdana"/>
                <w:sz w:val="18"/>
                <w:szCs w:val="18"/>
              </w:rPr>
              <w:t xml:space="preserve">2 </w:t>
            </w:r>
            <w:r w:rsidRPr="00CB1B45">
              <w:rPr>
                <w:rFonts w:ascii="Verdana" w:hAnsi="Verdana"/>
                <w:sz w:val="18"/>
                <w:szCs w:val="18"/>
              </w:rPr>
              <w:t xml:space="preserve">+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Default="00FF2AB3" w:rsidP="00FF2AB3">
            <w:pPr>
              <w:jc w:val="center"/>
              <w:rPr>
                <w:rFonts w:ascii="Verdana" w:hAnsi="Verdana"/>
                <w:sz w:val="18"/>
                <w:szCs w:val="18"/>
              </w:rPr>
            </w:pPr>
            <w:r>
              <w:rPr>
                <w:rFonts w:ascii="Verdana" w:hAnsi="Verdana"/>
                <w:sz w:val="18"/>
                <w:szCs w:val="18"/>
                <w:lang w:val="en-US"/>
              </w:rPr>
              <w:t>66</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r w:rsidRPr="00CB1B45">
              <w:rPr>
                <w:rFonts w:ascii="Verdana" w:hAnsi="Verdana"/>
                <w:sz w:val="18"/>
                <w:szCs w:val="18"/>
              </w:rPr>
              <w:t>2</w:t>
            </w:r>
            <w:r>
              <w:rPr>
                <w:rFonts w:ascii="Verdana" w:hAnsi="Verdana"/>
                <w:sz w:val="18"/>
                <w:szCs w:val="18"/>
              </w:rPr>
              <w:t>7</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 &gt; 3</w:t>
            </w:r>
            <w:r>
              <w:rPr>
                <w:rFonts w:ascii="Verdana" w:hAnsi="Verdana"/>
                <w:sz w:val="18"/>
                <w:szCs w:val="18"/>
              </w:rPr>
              <w:t>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κατηγορίες (α) ή (γ)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sidRPr="00CB1B45">
              <w:rPr>
                <w:rFonts w:ascii="Verdana" w:hAnsi="Verdana"/>
                <w:sz w:val="18"/>
                <w:szCs w:val="18"/>
                <w:lang w:val="en-US"/>
              </w:rPr>
              <w:t>6</w:t>
            </w:r>
            <w:r>
              <w:rPr>
                <w:rFonts w:ascii="Verdana" w:hAnsi="Verdana"/>
                <w:sz w:val="18"/>
                <w:szCs w:val="18"/>
                <w:lang w:val="en-US"/>
              </w:rPr>
              <w:t>1</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sidRPr="00CB1B45">
              <w:rPr>
                <w:rFonts w:ascii="Verdana" w:hAnsi="Verdana"/>
                <w:sz w:val="18"/>
                <w:szCs w:val="18"/>
                <w:lang w:val="en-US"/>
              </w:rPr>
              <w:t>57</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r w:rsidR="00FF2AB3" w:rsidRPr="00CB1B45" w:rsidTr="00FF2AB3">
        <w:tc>
          <w:tcPr>
            <w:tcW w:w="560" w:type="dxa"/>
            <w:tcBorders>
              <w:top w:val="single" w:sz="4" w:space="0" w:color="auto"/>
              <w:left w:val="single" w:sz="4" w:space="0" w:color="auto"/>
              <w:bottom w:val="single" w:sz="4" w:space="0" w:color="auto"/>
              <w:right w:val="single" w:sz="4" w:space="0" w:color="auto"/>
            </w:tcBorders>
          </w:tcPr>
          <w:p w:rsidR="00FF2AB3" w:rsidRPr="00CB1B45" w:rsidRDefault="00FF2AB3" w:rsidP="00FF2AB3">
            <w:pPr>
              <w:rPr>
                <w:rFonts w:ascii="Verdana" w:hAnsi="Verdana"/>
                <w:sz w:val="18"/>
                <w:szCs w:val="18"/>
              </w:rPr>
            </w:pPr>
            <w:r w:rsidRPr="00CB1B45">
              <w:rPr>
                <w:rFonts w:ascii="Verdana" w:hAnsi="Verdana"/>
                <w:sz w:val="18"/>
                <w:szCs w:val="18"/>
              </w:rPr>
              <w:t>2</w:t>
            </w:r>
            <w:r>
              <w:rPr>
                <w:rFonts w:ascii="Verdana" w:hAnsi="Verdana"/>
                <w:sz w:val="18"/>
                <w:szCs w:val="18"/>
              </w:rPr>
              <w:t>8</w:t>
            </w:r>
          </w:p>
        </w:tc>
        <w:tc>
          <w:tcPr>
            <w:tcW w:w="4935" w:type="dxa"/>
            <w:tcBorders>
              <w:top w:val="single" w:sz="4" w:space="0" w:color="auto"/>
              <w:left w:val="single" w:sz="4" w:space="0" w:color="auto"/>
              <w:bottom w:val="single" w:sz="4" w:space="0" w:color="auto"/>
              <w:right w:val="single" w:sz="4" w:space="0" w:color="auto"/>
            </w:tcBorders>
          </w:tcPr>
          <w:p w:rsidR="00FF2AB3" w:rsidRDefault="00FF2AB3" w:rsidP="00FF2AB3">
            <w:pPr>
              <w:rPr>
                <w:rFonts w:ascii="Verdana" w:hAnsi="Verdana"/>
                <w:sz w:val="18"/>
                <w:szCs w:val="18"/>
              </w:rPr>
            </w:pPr>
            <w:proofErr w:type="spellStart"/>
            <w:r w:rsidRPr="00CB1B45">
              <w:rPr>
                <w:rFonts w:ascii="Verdana" w:hAnsi="Verdana"/>
                <w:sz w:val="18"/>
                <w:szCs w:val="18"/>
              </w:rPr>
              <w:t>ΣΗΘΥΑ</w:t>
            </w:r>
            <w:proofErr w:type="spellEnd"/>
            <w:r w:rsidRPr="00CB1B45">
              <w:rPr>
                <w:rFonts w:ascii="Verdana" w:hAnsi="Verdana"/>
                <w:sz w:val="18"/>
                <w:szCs w:val="18"/>
              </w:rPr>
              <w:t xml:space="preserve">  με χρήση Φυσικού Αερίου &gt; 3</w:t>
            </w:r>
            <w:r>
              <w:rPr>
                <w:rFonts w:ascii="Verdana" w:hAnsi="Verdana"/>
                <w:sz w:val="18"/>
                <w:szCs w:val="18"/>
              </w:rPr>
              <w:t>0</w:t>
            </w:r>
            <w:r w:rsidRPr="00CB1B45">
              <w:rPr>
                <w:rFonts w:ascii="Verdana" w:hAnsi="Verdana"/>
                <w:sz w:val="18"/>
                <w:szCs w:val="18"/>
              </w:rPr>
              <w:t xml:space="preserve"> M</w:t>
            </w:r>
            <w:r w:rsidRPr="00CB1B45">
              <w:rPr>
                <w:rFonts w:ascii="Verdana" w:hAnsi="Verdana"/>
                <w:sz w:val="18"/>
                <w:szCs w:val="18"/>
                <w:lang w:val="en-US"/>
              </w:rPr>
              <w:t>W</w:t>
            </w:r>
            <w:r w:rsidRPr="00CB1B45">
              <w:rPr>
                <w:rFonts w:ascii="Verdana" w:hAnsi="Verdana"/>
                <w:sz w:val="18"/>
                <w:szCs w:val="18"/>
              </w:rPr>
              <w:t xml:space="preserve">  λοιπών κατηγοριών </w:t>
            </w:r>
          </w:p>
        </w:tc>
        <w:tc>
          <w:tcPr>
            <w:tcW w:w="1559"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6</w:t>
            </w:r>
            <w:r>
              <w:rPr>
                <w:rFonts w:ascii="Verdana" w:hAnsi="Verdana"/>
                <w:sz w:val="18"/>
                <w:szCs w:val="18"/>
                <w:lang w:val="en-US"/>
              </w:rPr>
              <w:t>5</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c>
          <w:tcPr>
            <w:tcW w:w="1468" w:type="dxa"/>
            <w:tcBorders>
              <w:top w:val="single" w:sz="4" w:space="0" w:color="auto"/>
              <w:left w:val="single" w:sz="4" w:space="0" w:color="auto"/>
              <w:bottom w:val="single" w:sz="4" w:space="0" w:color="auto"/>
              <w:right w:val="single" w:sz="4" w:space="0" w:color="auto"/>
            </w:tcBorders>
            <w:vAlign w:val="center"/>
          </w:tcPr>
          <w:p w:rsidR="00FF2AB3" w:rsidRPr="00CB1B45" w:rsidRDefault="00FF2AB3" w:rsidP="00FF2AB3">
            <w:pPr>
              <w:jc w:val="center"/>
              <w:rPr>
                <w:rFonts w:ascii="Verdana" w:hAnsi="Verdana"/>
                <w:sz w:val="18"/>
                <w:szCs w:val="18"/>
              </w:rPr>
            </w:pPr>
            <w:r w:rsidRPr="00CB1B45">
              <w:rPr>
                <w:rFonts w:ascii="Verdana" w:hAnsi="Verdana"/>
                <w:sz w:val="18"/>
                <w:szCs w:val="18"/>
              </w:rPr>
              <w:t>6</w:t>
            </w:r>
            <w:r>
              <w:rPr>
                <w:rFonts w:ascii="Verdana" w:hAnsi="Verdana"/>
                <w:sz w:val="18"/>
                <w:szCs w:val="18"/>
                <w:lang w:val="en-US"/>
              </w:rPr>
              <w:t>0</w:t>
            </w:r>
            <w:r w:rsidRPr="00CB1B45">
              <w:rPr>
                <w:rFonts w:ascii="Verdana" w:hAnsi="Verdana"/>
                <w:sz w:val="18"/>
                <w:szCs w:val="18"/>
              </w:rPr>
              <w:t xml:space="preserve"> + </w:t>
            </w:r>
            <w:proofErr w:type="spellStart"/>
            <w:r w:rsidRPr="00CB1B45">
              <w:rPr>
                <w:rFonts w:ascii="Verdana" w:hAnsi="Verdana"/>
                <w:sz w:val="18"/>
                <w:szCs w:val="18"/>
              </w:rPr>
              <w:t>ΣΡ</w:t>
            </w:r>
            <w:proofErr w:type="spellEnd"/>
          </w:p>
        </w:tc>
      </w:tr>
    </w:tbl>
    <w:p w:rsidR="00FF2AB3" w:rsidRDefault="00FF2AB3" w:rsidP="00FF2AB3">
      <w:pPr>
        <w:tabs>
          <w:tab w:val="left" w:pos="1911"/>
        </w:tabs>
        <w:rPr>
          <w:color w:val="FF0000"/>
        </w:rPr>
      </w:pPr>
    </w:p>
    <w:p w:rsidR="00FF2AB3" w:rsidRPr="00A06551" w:rsidRDefault="00FF2AB3" w:rsidP="00FF2AB3">
      <w:pPr>
        <w:tabs>
          <w:tab w:val="left" w:pos="1911"/>
        </w:tabs>
        <w:spacing w:after="120" w:line="240" w:lineRule="auto"/>
      </w:pPr>
      <w:r w:rsidRPr="00A06551">
        <w:t xml:space="preserve">Οι κατηγορίες </w:t>
      </w:r>
      <w:r>
        <w:t xml:space="preserve">«με ενίσχυση» και «χωρίς ενίσχυση» </w:t>
      </w:r>
      <w:r w:rsidRPr="00CB1B45">
        <w:t xml:space="preserve">του ανωτέρω πίνακα </w:t>
      </w:r>
      <w:r>
        <w:t xml:space="preserve">Α </w:t>
      </w:r>
      <w:r w:rsidRPr="00A06551">
        <w:t>έχουν ως ακολούθως:</w:t>
      </w:r>
    </w:p>
    <w:p w:rsidR="00FF2AB3" w:rsidRDefault="00FF2AB3" w:rsidP="00FF2AB3">
      <w:pPr>
        <w:tabs>
          <w:tab w:val="left" w:pos="1911"/>
        </w:tabs>
        <w:spacing w:after="120" w:line="240" w:lineRule="auto"/>
      </w:pPr>
      <w:r w:rsidRPr="00A06551">
        <w:t>Μ</w:t>
      </w:r>
      <w:r>
        <w:t>ε ενίσχυση</w:t>
      </w:r>
      <w:r w:rsidRPr="00A06551">
        <w:t>: Η υλοποίηση της επένδυ</w:t>
      </w:r>
      <w:r>
        <w:t xml:space="preserve">σης πραγματοποιήθηκε με χρήση δημόσιας ενίσχυσης, και συγκεκριμένα με χρήση </w:t>
      </w:r>
      <w:r w:rsidRPr="00074303">
        <w:t xml:space="preserve">άμεσης ενίσχυσης (επιχορήγηση) ή ισοδύναμης ενίσχυσης με άλλα μέσα (αφορολόγητα αποθεματικά, απαλλαγή από φόρο εισοδήματος, επιδότηση επιτοκίου) σε ποσοστό μεγαλύτερο από 20% επί του κόστους της επένδυσης όπως έχει διαμορφωθεί έως την </w:t>
      </w:r>
      <w:r>
        <w:t>ημερομηνία έναρξης δοκιμαστικής λειτουργίας του σταθμού</w:t>
      </w:r>
      <w:r w:rsidRPr="00074303">
        <w:t xml:space="preserve"> </w:t>
      </w:r>
      <w:r>
        <w:t xml:space="preserve">ή πραγματοποίησης της σύνδεσής του, κατά περίπτωση, </w:t>
      </w:r>
      <w:r w:rsidRPr="00074303">
        <w:t>και αποτυπώνεται στο λογιστικό σύστημα και τις λογιστικές καταστάσεις του παραγωγού.</w:t>
      </w:r>
    </w:p>
    <w:p w:rsidR="00FF2AB3" w:rsidRPr="00A06551" w:rsidRDefault="00FF2AB3" w:rsidP="00FF2AB3">
      <w:pPr>
        <w:tabs>
          <w:tab w:val="left" w:pos="1911"/>
        </w:tabs>
        <w:spacing w:after="120" w:line="240" w:lineRule="auto"/>
      </w:pPr>
      <w:r w:rsidRPr="00A06551">
        <w:t>Χ</w:t>
      </w:r>
      <w:r>
        <w:t xml:space="preserve">ωρίς ενίσχυση: </w:t>
      </w:r>
      <w:r w:rsidRPr="00A06551">
        <w:t>Η υλοποίηση της επένδυ</w:t>
      </w:r>
      <w:r>
        <w:t xml:space="preserve">σης πραγματοποιήθηκε </w:t>
      </w:r>
      <w:r w:rsidRPr="00A06551">
        <w:t xml:space="preserve">χωρίς τη χρήση δημόσιας ενίσχυσης </w:t>
      </w:r>
      <w:r>
        <w:t>όπως αυτή περιγράφεται στο προηγούμενο εδάφιο.</w:t>
      </w:r>
    </w:p>
    <w:p w:rsidR="00FF2AB3" w:rsidRPr="00CB1B45" w:rsidRDefault="00FF2AB3" w:rsidP="00FF2AB3">
      <w:pPr>
        <w:tabs>
          <w:tab w:val="left" w:pos="1911"/>
        </w:tabs>
        <w:rPr>
          <w:color w:val="FF0000"/>
        </w:rPr>
      </w:pPr>
    </w:p>
    <w:p w:rsidR="00FF2AB3" w:rsidRPr="00CB1B45" w:rsidRDefault="00FF2AB3" w:rsidP="00FF2AB3">
      <w:pPr>
        <w:tabs>
          <w:tab w:val="left" w:pos="1911"/>
        </w:tabs>
      </w:pPr>
      <w:r w:rsidRPr="00CB1B45">
        <w:t xml:space="preserve">Οι κατηγορίες </w:t>
      </w:r>
      <w:proofErr w:type="spellStart"/>
      <w:r w:rsidRPr="00CB1B45">
        <w:t>ΣΗΘΥΑ</w:t>
      </w:r>
      <w:proofErr w:type="spellEnd"/>
      <w:r w:rsidRPr="00CB1B45">
        <w:t xml:space="preserve"> του ανωτέρω πίνακα προσδιορίζονται σύμφωνα με το άρθρο 3 της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w:t>
      </w:r>
      <w:proofErr w:type="spellStart"/>
      <w:r w:rsidRPr="00CB1B45">
        <w:t>οικ.15641</w:t>
      </w:r>
      <w:proofErr w:type="spellEnd"/>
      <w:r w:rsidRPr="00CB1B45">
        <w:t>/14.07.2009 (Β’ 1420):</w:t>
      </w:r>
    </w:p>
    <w:p w:rsidR="00FF2AB3" w:rsidRPr="00CB1B45" w:rsidRDefault="00FF2AB3" w:rsidP="00FF2AB3">
      <w:pPr>
        <w:tabs>
          <w:tab w:val="left" w:pos="1911"/>
        </w:tabs>
      </w:pPr>
      <w:r w:rsidRPr="00CB1B45">
        <w:t>(α) Συνδυασμένος κύκλος αεριοστρόβιλου με ανάκτηση θερμότητας</w:t>
      </w:r>
    </w:p>
    <w:p w:rsidR="00FF2AB3" w:rsidRPr="00CB1B45" w:rsidRDefault="00FF2AB3" w:rsidP="00FF2AB3">
      <w:pPr>
        <w:tabs>
          <w:tab w:val="left" w:pos="1911"/>
        </w:tabs>
      </w:pPr>
      <w:r w:rsidRPr="00CB1B45">
        <w:t xml:space="preserve">(β) Ατμοστρόβιλος </w:t>
      </w:r>
      <w:proofErr w:type="spellStart"/>
      <w:r w:rsidRPr="00CB1B45">
        <w:t>αντίθλ</w:t>
      </w:r>
      <w:r>
        <w:t>ι</w:t>
      </w:r>
      <w:r w:rsidRPr="00CB1B45">
        <w:t>ψης</w:t>
      </w:r>
      <w:proofErr w:type="spellEnd"/>
    </w:p>
    <w:p w:rsidR="00FF2AB3" w:rsidRPr="00CB1B45" w:rsidRDefault="00FF2AB3" w:rsidP="00FF2AB3">
      <w:pPr>
        <w:tabs>
          <w:tab w:val="left" w:pos="1911"/>
        </w:tabs>
      </w:pPr>
      <w:r w:rsidRPr="00CB1B45">
        <w:t xml:space="preserve">(γ) Ατμοστρόβιλος συμπύκνωσης – </w:t>
      </w:r>
      <w:proofErr w:type="spellStart"/>
      <w:r w:rsidRPr="00CB1B45">
        <w:t>απομάστευσης</w:t>
      </w:r>
      <w:proofErr w:type="spellEnd"/>
    </w:p>
    <w:p w:rsidR="00FF2AB3" w:rsidRPr="00CB1B45" w:rsidRDefault="00FF2AB3" w:rsidP="00FF2AB3">
      <w:pPr>
        <w:tabs>
          <w:tab w:val="left" w:pos="1911"/>
        </w:tabs>
      </w:pPr>
      <w:r w:rsidRPr="00CB1B45">
        <w:t>(δ) Αεριοστρόβιλος με ανάκτηση θερμότητας</w:t>
      </w:r>
    </w:p>
    <w:p w:rsidR="00FF2AB3" w:rsidRPr="00CB1B45" w:rsidRDefault="00FF2AB3" w:rsidP="00FF2AB3">
      <w:pPr>
        <w:tabs>
          <w:tab w:val="left" w:pos="1911"/>
        </w:tabs>
      </w:pPr>
      <w:r w:rsidRPr="00CB1B45">
        <w:t>(ε) Παλινδρομική μηχανή εσωτερικής καύσης</w:t>
      </w:r>
    </w:p>
    <w:p w:rsidR="00FF2AB3" w:rsidRPr="00CB1B45" w:rsidRDefault="00FF2AB3" w:rsidP="00FF2AB3">
      <w:pPr>
        <w:tabs>
          <w:tab w:val="left" w:pos="1911"/>
        </w:tabs>
      </w:pPr>
      <w:r w:rsidRPr="00CB1B45">
        <w:t xml:space="preserve">(στ) </w:t>
      </w:r>
      <w:proofErr w:type="spellStart"/>
      <w:r w:rsidRPr="00CB1B45">
        <w:t>Μικροστρόβιλος</w:t>
      </w:r>
      <w:proofErr w:type="spellEnd"/>
    </w:p>
    <w:p w:rsidR="00FF2AB3" w:rsidRPr="00CB1B45" w:rsidRDefault="00FF2AB3" w:rsidP="00FF2AB3">
      <w:pPr>
        <w:tabs>
          <w:tab w:val="left" w:pos="1911"/>
        </w:tabs>
      </w:pPr>
      <w:r w:rsidRPr="00CB1B45">
        <w:t xml:space="preserve">ζ) Μηχανή  </w:t>
      </w:r>
      <w:proofErr w:type="spellStart"/>
      <w:r w:rsidRPr="00CB1B45">
        <w:rPr>
          <w:lang w:val="en-US"/>
        </w:rPr>
        <w:t>Stirling</w:t>
      </w:r>
      <w:proofErr w:type="spellEnd"/>
    </w:p>
    <w:p w:rsidR="00FF2AB3" w:rsidRPr="00CB1B45" w:rsidRDefault="00FF2AB3" w:rsidP="00FF2AB3">
      <w:pPr>
        <w:tabs>
          <w:tab w:val="left" w:pos="1911"/>
        </w:tabs>
      </w:pPr>
      <w:r w:rsidRPr="00CB1B45">
        <w:t>η) Κυψέλη Καυσίμου</w:t>
      </w:r>
    </w:p>
    <w:p w:rsidR="00FF2AB3" w:rsidRPr="00CB1B45" w:rsidRDefault="00FF2AB3" w:rsidP="00FF2AB3">
      <w:pPr>
        <w:tabs>
          <w:tab w:val="left" w:pos="1911"/>
        </w:tabs>
      </w:pPr>
      <w:r w:rsidRPr="00CB1B45">
        <w:t>θ) Ατμομηχανή</w:t>
      </w:r>
    </w:p>
    <w:p w:rsidR="00FF2AB3" w:rsidRPr="00CB1B45" w:rsidRDefault="00FF2AB3" w:rsidP="00FF2AB3">
      <w:pPr>
        <w:tabs>
          <w:tab w:val="left" w:pos="1911"/>
        </w:tabs>
      </w:pPr>
      <w:r w:rsidRPr="00CB1B45">
        <w:t xml:space="preserve">ι) Οργανικός κύκλος  </w:t>
      </w:r>
      <w:proofErr w:type="spellStart"/>
      <w:r w:rsidRPr="00CB1B45">
        <w:rPr>
          <w:lang w:val="en-US"/>
        </w:rPr>
        <w:t>Rankine</w:t>
      </w:r>
      <w:proofErr w:type="spellEnd"/>
    </w:p>
    <w:p w:rsidR="00FF2AB3" w:rsidRPr="00CB1B45" w:rsidRDefault="00FF2AB3" w:rsidP="00FF2AB3">
      <w:pPr>
        <w:tabs>
          <w:tab w:val="left" w:pos="1911"/>
        </w:tabs>
      </w:pPr>
      <w:r w:rsidRPr="00CB1B45">
        <w:t>ια) Οποιοσδήποτε άλλος τύπος τεχνολογίας ή συνδυασμός τύπων τεχνολογιών που εμπίπτει στον ορισμό της συμπαραγωγής</w:t>
      </w:r>
    </w:p>
    <w:p w:rsidR="00FF2AB3" w:rsidRPr="00A06551" w:rsidRDefault="00FF2AB3" w:rsidP="00FF2AB3">
      <w:pPr>
        <w:tabs>
          <w:tab w:val="left" w:pos="1911"/>
        </w:tabs>
        <w:rPr>
          <w:highlight w:val="yellow"/>
        </w:rPr>
      </w:pPr>
    </w:p>
    <w:p w:rsidR="00FF2AB3" w:rsidRPr="00CB1B45" w:rsidRDefault="00FF2AB3" w:rsidP="00FF2AB3">
      <w:pPr>
        <w:tabs>
          <w:tab w:val="left" w:pos="1911"/>
        </w:tabs>
      </w:pPr>
      <w:r w:rsidRPr="00CB1B45">
        <w:t>Ο συντελεστής ρήτρας φυσικού αερίου (</w:t>
      </w:r>
      <w:proofErr w:type="spellStart"/>
      <w:r w:rsidRPr="00CB1B45">
        <w:t>ΣΡ</w:t>
      </w:r>
      <w:proofErr w:type="spellEnd"/>
      <w:r w:rsidRPr="00CB1B45">
        <w:t>) είναι μέγεθος που καλύπτει τις μεταβολές του κόστους του φυσικού αερίου και  υπολογίζεται όπως στη συνέχεια:</w:t>
      </w:r>
    </w:p>
    <w:p w:rsidR="00FF2AB3" w:rsidRPr="00CB1B45" w:rsidRDefault="00FF2AB3" w:rsidP="00FF2AB3">
      <w:pPr>
        <w:tabs>
          <w:tab w:val="left" w:pos="1911"/>
        </w:tabs>
        <w:rPr>
          <w:lang w:val="en-US"/>
        </w:rPr>
      </w:pPr>
      <w:r w:rsidRPr="00CB1B45">
        <w:t>Σ</w:t>
      </w:r>
      <w:r w:rsidRPr="00CB1B45">
        <w:rPr>
          <w:lang w:val="en-US"/>
        </w:rPr>
        <w:t>P = (((1-((n-ne)/</w:t>
      </w:r>
      <w:proofErr w:type="spellStart"/>
      <w:r w:rsidRPr="00CB1B45">
        <w:rPr>
          <w:lang w:val="en-US"/>
        </w:rPr>
        <w:t>nhr</w:t>
      </w:r>
      <w:proofErr w:type="spellEnd"/>
      <w:r w:rsidRPr="00CB1B45">
        <w:rPr>
          <w:lang w:val="en-US"/>
        </w:rPr>
        <w:t>))/ne))x(</w:t>
      </w:r>
      <w:proofErr w:type="spellStart"/>
      <w:r w:rsidRPr="00CB1B45">
        <w:t>ΜΤΦΑ</w:t>
      </w:r>
      <w:proofErr w:type="spellEnd"/>
      <w:r w:rsidRPr="00CB1B45">
        <w:rPr>
          <w:lang w:val="en-US"/>
        </w:rPr>
        <w:t xml:space="preserve">t-26) </w:t>
      </w:r>
    </w:p>
    <w:p w:rsidR="00FF2AB3" w:rsidRPr="00CB1B45" w:rsidRDefault="00FF2AB3" w:rsidP="00FF2AB3">
      <w:pPr>
        <w:tabs>
          <w:tab w:val="left" w:pos="1911"/>
        </w:tabs>
      </w:pPr>
      <w:r w:rsidRPr="00CB1B45">
        <w:t>Όπου</w:t>
      </w:r>
    </w:p>
    <w:p w:rsidR="00FF2AB3" w:rsidRPr="00CB1B45" w:rsidRDefault="00FF2AB3" w:rsidP="00FF2AB3">
      <w:pPr>
        <w:tabs>
          <w:tab w:val="left" w:pos="1911"/>
        </w:tabs>
      </w:pPr>
      <w:proofErr w:type="gramStart"/>
      <w:r w:rsidRPr="00CB1B45">
        <w:rPr>
          <w:lang w:val="en-US"/>
        </w:rPr>
        <w:t>ne</w:t>
      </w:r>
      <w:proofErr w:type="gramEnd"/>
      <w:r w:rsidRPr="00CB1B45">
        <w:t xml:space="preserve">: Ηλεκτρικός βαθμός απόδοσης μονάδας συμπαραγωγή, όπως </w:t>
      </w:r>
      <w:r>
        <w:t xml:space="preserve">ορίζεται στην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/749/21.03.2012 (</w:t>
      </w:r>
      <w:r w:rsidRPr="00CB1B45">
        <w:rPr>
          <w:lang w:val="en-US"/>
        </w:rPr>
        <w:t>B</w:t>
      </w:r>
      <w:r w:rsidRPr="00CB1B45">
        <w:t>’ 889)</w:t>
      </w:r>
    </w:p>
    <w:p w:rsidR="00FF2AB3" w:rsidRPr="00CB1B45" w:rsidRDefault="00FF2AB3" w:rsidP="00FF2AB3">
      <w:pPr>
        <w:tabs>
          <w:tab w:val="left" w:pos="1911"/>
        </w:tabs>
      </w:pPr>
      <w:proofErr w:type="spellStart"/>
      <w:proofErr w:type="gramStart"/>
      <w:r w:rsidRPr="00CB1B45">
        <w:rPr>
          <w:lang w:val="en-US"/>
        </w:rPr>
        <w:t>nh</w:t>
      </w:r>
      <w:proofErr w:type="spellEnd"/>
      <w:proofErr w:type="gramEnd"/>
      <w:r w:rsidRPr="00CB1B45">
        <w:t xml:space="preserve">: Θερμικός βαθμός απόδοσης μονάδας συμπαραγωγής, όπως </w:t>
      </w:r>
      <w:r>
        <w:t xml:space="preserve">ορίζεται στην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/749/21.03.2012 (</w:t>
      </w:r>
      <w:r w:rsidRPr="00CB1B45">
        <w:rPr>
          <w:lang w:val="en-US"/>
        </w:rPr>
        <w:t>B</w:t>
      </w:r>
      <w:r w:rsidRPr="00CB1B45">
        <w:t>’ 889)</w:t>
      </w:r>
    </w:p>
    <w:p w:rsidR="00FF2AB3" w:rsidRPr="00CB1B45" w:rsidRDefault="00FF2AB3" w:rsidP="00FF2AB3">
      <w:pPr>
        <w:tabs>
          <w:tab w:val="left" w:pos="1911"/>
        </w:tabs>
      </w:pPr>
      <w:r w:rsidRPr="00CB1B45">
        <w:rPr>
          <w:lang w:val="en-US"/>
        </w:rPr>
        <w:t>n</w:t>
      </w:r>
      <w:r w:rsidRPr="00CB1B45">
        <w:t xml:space="preserve"> = </w:t>
      </w:r>
      <w:r w:rsidRPr="00CB1B45">
        <w:rPr>
          <w:lang w:val="en-US"/>
        </w:rPr>
        <w:t>ne</w:t>
      </w:r>
      <w:r w:rsidRPr="00CB1B45">
        <w:t xml:space="preserve"> + </w:t>
      </w:r>
      <w:proofErr w:type="spellStart"/>
      <w:proofErr w:type="gramStart"/>
      <w:r w:rsidRPr="00CB1B45">
        <w:rPr>
          <w:lang w:val="en-US"/>
        </w:rPr>
        <w:t>nh</w:t>
      </w:r>
      <w:proofErr w:type="spellEnd"/>
      <w:r w:rsidRPr="00CB1B45">
        <w:t xml:space="preserve"> :</w:t>
      </w:r>
      <w:proofErr w:type="gramEnd"/>
      <w:r w:rsidRPr="00CB1B45">
        <w:t xml:space="preserve"> Ολικός βαθμός απόδοσης μονάδας συμπαραγωγής </w:t>
      </w:r>
    </w:p>
    <w:p w:rsidR="00FF2AB3" w:rsidRPr="00CB1B45" w:rsidRDefault="00FF2AB3" w:rsidP="00FF2AB3">
      <w:pPr>
        <w:tabs>
          <w:tab w:val="left" w:pos="1911"/>
        </w:tabs>
      </w:pPr>
      <w:proofErr w:type="spellStart"/>
      <w:proofErr w:type="gramStart"/>
      <w:r w:rsidRPr="00CB1B45">
        <w:rPr>
          <w:lang w:val="en-US"/>
        </w:rPr>
        <w:t>nhr</w:t>
      </w:r>
      <w:proofErr w:type="spellEnd"/>
      <w:proofErr w:type="gramEnd"/>
      <w:r w:rsidRPr="00CB1B45">
        <w:t xml:space="preserve">:  είναι η τιμή αναφοράς του βαθμού απόδοσης για τη χωριστή παραγωγή θερμικής ενέργειας, όπως </w:t>
      </w:r>
      <w:r>
        <w:t xml:space="preserve">ορίζεται στην </w:t>
      </w:r>
      <w:proofErr w:type="spellStart"/>
      <w:r w:rsidRPr="00CB1B45">
        <w:t>Υ.Α</w:t>
      </w:r>
      <w:proofErr w:type="spellEnd"/>
      <w:r w:rsidRPr="00CB1B45">
        <w:t xml:space="preserve">. </w:t>
      </w:r>
      <w:proofErr w:type="spellStart"/>
      <w:r w:rsidRPr="00CB1B45">
        <w:t>Δ5</w:t>
      </w:r>
      <w:proofErr w:type="spellEnd"/>
      <w:r w:rsidRPr="00CB1B45">
        <w:t>-</w:t>
      </w:r>
      <w:proofErr w:type="spellStart"/>
      <w:r w:rsidRPr="00CB1B45">
        <w:t>ΗΛ</w:t>
      </w:r>
      <w:proofErr w:type="spellEnd"/>
      <w:r w:rsidRPr="00CB1B45">
        <w:t>/Γ/</w:t>
      </w:r>
      <w:proofErr w:type="spellStart"/>
      <w:r w:rsidRPr="00CB1B45">
        <w:t>Φ1</w:t>
      </w:r>
      <w:proofErr w:type="spellEnd"/>
      <w:r w:rsidRPr="00CB1B45">
        <w:t>/749/21.03.2012 (</w:t>
      </w:r>
      <w:r w:rsidRPr="00CB1B45">
        <w:rPr>
          <w:lang w:val="en-US"/>
        </w:rPr>
        <w:t>B</w:t>
      </w:r>
      <w:r w:rsidRPr="00CB1B45">
        <w:t>’ 889)</w:t>
      </w:r>
    </w:p>
    <w:p w:rsidR="00FF2AB3" w:rsidRPr="00CB1B45" w:rsidRDefault="00FF2AB3" w:rsidP="00FF2AB3">
      <w:pPr>
        <w:tabs>
          <w:tab w:val="left" w:pos="1911"/>
        </w:tabs>
      </w:pPr>
      <w:r w:rsidRPr="00CB1B45">
        <w:t>όπου οι βαθμοί απόδοσης σε Ανώτερη Θερμογόνο Δύναμη (</w:t>
      </w:r>
      <w:proofErr w:type="spellStart"/>
      <w:r w:rsidRPr="00CB1B45">
        <w:t>ΑΘΔ</w:t>
      </w:r>
      <w:proofErr w:type="spellEnd"/>
      <w:r w:rsidRPr="00CB1B45">
        <w:t xml:space="preserve">) όπως στον </w:t>
      </w:r>
      <w:r>
        <w:t xml:space="preserve">παρακάτω </w:t>
      </w:r>
      <w:r w:rsidRPr="00CB1B45">
        <w:t xml:space="preserve">πίνακα </w:t>
      </w:r>
      <w:r>
        <w:t>Β.</w:t>
      </w:r>
    </w:p>
    <w:p w:rsidR="00FF2AB3" w:rsidRPr="00CB1B45" w:rsidRDefault="00FF2AB3" w:rsidP="00FF2AB3">
      <w:pPr>
        <w:tabs>
          <w:tab w:val="left" w:pos="1911"/>
        </w:tabs>
      </w:pPr>
      <w:r w:rsidRPr="00CB1B45">
        <w:t>Πίνακας Β</w:t>
      </w:r>
    </w:p>
    <w:tbl>
      <w:tblPr>
        <w:tblW w:w="9214" w:type="dxa"/>
        <w:tblInd w:w="-423" w:type="dxa"/>
        <w:tblLayout w:type="fixed"/>
        <w:tblCellMar>
          <w:left w:w="0" w:type="dxa"/>
          <w:right w:w="0" w:type="dxa"/>
        </w:tblCellMar>
        <w:tblLook w:val="00A0" w:firstRow="1" w:lastRow="0" w:firstColumn="1" w:lastColumn="0" w:noHBand="0" w:noVBand="0"/>
      </w:tblPr>
      <w:tblGrid>
        <w:gridCol w:w="6663"/>
        <w:gridCol w:w="2551"/>
      </w:tblGrid>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 1 </w:t>
            </w:r>
            <w:r w:rsidRPr="00CB1B45">
              <w:rPr>
                <w:sz w:val="20"/>
                <w:szCs w:val="20"/>
                <w:lang w:val="en-US"/>
              </w:rPr>
              <w:t>Mw</w:t>
            </w:r>
            <w:r w:rsidRPr="00CB1B45">
              <w:rPr>
                <w:sz w:val="20"/>
                <w:szCs w:val="20"/>
              </w:rPr>
              <w:t xml:space="preserve"> κατηγορίες (α) ή (γ)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r w:rsidRPr="00CB1B45">
              <w:rPr>
                <w:sz w:val="20"/>
                <w:szCs w:val="20"/>
                <w:lang w:val="en-US"/>
              </w:rPr>
              <w:t>n=72%</w:t>
            </w:r>
            <w:r w:rsidRPr="00CB1B45">
              <w:rPr>
                <w:sz w:val="20"/>
                <w:szCs w:val="20"/>
              </w:rPr>
              <w:t xml:space="preserve">, </w:t>
            </w:r>
            <w:r w:rsidRPr="00CB1B45">
              <w:rPr>
                <w:sz w:val="20"/>
                <w:szCs w:val="20"/>
                <w:lang w:val="en-US"/>
              </w:rPr>
              <w:t>ne= 33%</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 1 </w:t>
            </w:r>
            <w:r w:rsidRPr="00CB1B45">
              <w:rPr>
                <w:sz w:val="20"/>
                <w:szCs w:val="20"/>
                <w:lang w:val="en-US"/>
              </w:rPr>
              <w:t>Mw</w:t>
            </w:r>
            <w:r w:rsidRPr="00CB1B45">
              <w:rPr>
                <w:sz w:val="20"/>
                <w:szCs w:val="20"/>
              </w:rPr>
              <w:t xml:space="preserve"> λοιπών κατηγοριών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r w:rsidRPr="00CB1B45">
              <w:rPr>
                <w:sz w:val="20"/>
                <w:szCs w:val="20"/>
                <w:lang w:val="en-US"/>
              </w:rPr>
              <w:t>n=</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ne=33%</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 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w:t>
            </w:r>
            <w:r>
              <w:rPr>
                <w:sz w:val="20"/>
                <w:szCs w:val="20"/>
              </w:rPr>
              <w:t>ΘΥΑ</w:t>
            </w:r>
            <w:proofErr w:type="spellEnd"/>
            <w:r>
              <w:rPr>
                <w:sz w:val="20"/>
                <w:szCs w:val="20"/>
              </w:rPr>
              <w:t xml:space="preserve">  με χρήση Φυσικού Αερίου &gt; </w:t>
            </w:r>
            <w:r w:rsidRPr="00974971">
              <w:rPr>
                <w:sz w:val="20"/>
                <w:szCs w:val="20"/>
              </w:rPr>
              <w:t>1</w:t>
            </w:r>
            <w:r w:rsidRPr="00CB1B45">
              <w:rPr>
                <w:sz w:val="20"/>
                <w:szCs w:val="20"/>
              </w:rPr>
              <w:t xml:space="preserve"> </w:t>
            </w:r>
            <w:r w:rsidRPr="00CB1B45">
              <w:rPr>
                <w:sz w:val="20"/>
                <w:szCs w:val="20"/>
                <w:lang w:val="en-US"/>
              </w:rPr>
              <w:t>M</w:t>
            </w:r>
            <w:r>
              <w:rPr>
                <w:sz w:val="20"/>
                <w:szCs w:val="20"/>
                <w:lang w:val="en-US"/>
              </w:rPr>
              <w:t>W</w:t>
            </w:r>
            <w:r>
              <w:rPr>
                <w:sz w:val="20"/>
                <w:szCs w:val="20"/>
              </w:rPr>
              <w:t xml:space="preserve"> και ≤ </w:t>
            </w:r>
            <w:r w:rsidRPr="00974971">
              <w:rPr>
                <w:sz w:val="20"/>
                <w:szCs w:val="20"/>
              </w:rPr>
              <w:t>5</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κατηγορίες (α) ή (γ)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lang w:val="en-US"/>
              </w:rPr>
            </w:pPr>
            <w:r w:rsidRPr="00CB1B45">
              <w:rPr>
                <w:sz w:val="20"/>
                <w:szCs w:val="20"/>
                <w:lang w:val="en-US"/>
              </w:rPr>
              <w:t>n=72%</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w:t>
            </w:r>
            <w:r>
              <w:rPr>
                <w:sz w:val="20"/>
                <w:szCs w:val="20"/>
              </w:rPr>
              <w:t>ΘΥΑ</w:t>
            </w:r>
            <w:proofErr w:type="spellEnd"/>
            <w:r>
              <w:rPr>
                <w:sz w:val="20"/>
                <w:szCs w:val="20"/>
              </w:rPr>
              <w:t xml:space="preserve">  με χρήση Φυσικού Αερίου &gt; </w:t>
            </w:r>
            <w:r w:rsidRPr="00974971">
              <w:rPr>
                <w:sz w:val="20"/>
                <w:szCs w:val="20"/>
              </w:rPr>
              <w:t>1</w:t>
            </w:r>
            <w:r w:rsidRPr="00CB1B45">
              <w:rPr>
                <w:sz w:val="20"/>
                <w:szCs w:val="20"/>
              </w:rPr>
              <w:t xml:space="preserve"> </w:t>
            </w:r>
            <w:r>
              <w:rPr>
                <w:sz w:val="20"/>
                <w:szCs w:val="20"/>
                <w:lang w:val="en-US"/>
              </w:rPr>
              <w:t>MW</w:t>
            </w:r>
            <w:r w:rsidRPr="00CB1B45">
              <w:rPr>
                <w:sz w:val="20"/>
                <w:szCs w:val="20"/>
              </w:rPr>
              <w:t xml:space="preserve"> και ≤ </w:t>
            </w:r>
            <w:r w:rsidRPr="00974971">
              <w:rPr>
                <w:sz w:val="20"/>
                <w:szCs w:val="20"/>
              </w:rPr>
              <w:t>5</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λοιπών κατηγοριών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lang w:val="en-US"/>
              </w:rPr>
            </w:pPr>
            <w:r w:rsidRPr="00CB1B45">
              <w:rPr>
                <w:sz w:val="20"/>
                <w:szCs w:val="20"/>
                <w:lang w:val="en-US"/>
              </w:rPr>
              <w:t>n=</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w:t>
            </w:r>
            <w:r>
              <w:rPr>
                <w:sz w:val="20"/>
                <w:szCs w:val="20"/>
              </w:rPr>
              <w:t>ΘΥΑ</w:t>
            </w:r>
            <w:proofErr w:type="spellEnd"/>
            <w:r>
              <w:rPr>
                <w:sz w:val="20"/>
                <w:szCs w:val="20"/>
              </w:rPr>
              <w:t xml:space="preserve">  με χρήση Φυσικού Αερίου &gt; </w:t>
            </w:r>
            <w:r w:rsidRPr="00974971">
              <w:rPr>
                <w:sz w:val="20"/>
                <w:szCs w:val="20"/>
              </w:rPr>
              <w:t>5</w:t>
            </w:r>
            <w:r w:rsidRPr="00CB1B45">
              <w:rPr>
                <w:sz w:val="20"/>
                <w:szCs w:val="20"/>
              </w:rPr>
              <w:t xml:space="preserve"> </w:t>
            </w:r>
            <w:r w:rsidRPr="00CB1B45">
              <w:rPr>
                <w:sz w:val="20"/>
                <w:szCs w:val="20"/>
                <w:lang w:val="en-US"/>
              </w:rPr>
              <w:t>M</w:t>
            </w:r>
            <w:r>
              <w:rPr>
                <w:sz w:val="20"/>
                <w:szCs w:val="20"/>
                <w:lang w:val="en-US"/>
              </w:rPr>
              <w:t>W</w:t>
            </w:r>
            <w:r>
              <w:rPr>
                <w:sz w:val="20"/>
                <w:szCs w:val="20"/>
              </w:rPr>
              <w:t xml:space="preserve"> και ≤ </w:t>
            </w:r>
            <w:r w:rsidRPr="00974971">
              <w:rPr>
                <w:sz w:val="20"/>
                <w:szCs w:val="20"/>
              </w:rPr>
              <w:t>1</w:t>
            </w:r>
            <w:r>
              <w:rPr>
                <w:sz w:val="20"/>
                <w:szCs w:val="20"/>
              </w:rPr>
              <w:t>0</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κατηγορίες (α) ή (γ)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974971" w:rsidRDefault="00FF2AB3" w:rsidP="0061721C">
            <w:pPr>
              <w:spacing w:before="60" w:after="60"/>
              <w:jc w:val="left"/>
              <w:rPr>
                <w:sz w:val="20"/>
                <w:szCs w:val="20"/>
              </w:rPr>
            </w:pPr>
            <w:r w:rsidRPr="00CB1B45">
              <w:rPr>
                <w:sz w:val="20"/>
                <w:szCs w:val="20"/>
                <w:lang w:val="en-US"/>
              </w:rPr>
              <w:t>n=</w:t>
            </w:r>
            <w:r>
              <w:rPr>
                <w:sz w:val="20"/>
                <w:szCs w:val="20"/>
                <w:lang w:val="en-US"/>
              </w:rPr>
              <w:t>7</w:t>
            </w:r>
            <w:r w:rsidRPr="00CB1B45">
              <w:rPr>
                <w:sz w:val="20"/>
                <w:szCs w:val="20"/>
                <w:lang w:val="en-US"/>
              </w:rPr>
              <w:t>2%</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w:t>
            </w:r>
            <w:r>
              <w:rPr>
                <w:sz w:val="20"/>
                <w:szCs w:val="20"/>
              </w:rPr>
              <w:t>ΘΥΑ</w:t>
            </w:r>
            <w:proofErr w:type="spellEnd"/>
            <w:r>
              <w:rPr>
                <w:sz w:val="20"/>
                <w:szCs w:val="20"/>
              </w:rPr>
              <w:t xml:space="preserve">  με χρήση Φυσικού Αερίου &gt; </w:t>
            </w:r>
            <w:r w:rsidRPr="00974971">
              <w:rPr>
                <w:sz w:val="20"/>
                <w:szCs w:val="20"/>
              </w:rPr>
              <w:t>5</w:t>
            </w:r>
            <w:r w:rsidRPr="00CB1B45">
              <w:rPr>
                <w:sz w:val="20"/>
                <w:szCs w:val="20"/>
              </w:rPr>
              <w:t xml:space="preserve"> </w:t>
            </w:r>
            <w:r>
              <w:rPr>
                <w:sz w:val="20"/>
                <w:szCs w:val="20"/>
                <w:lang w:val="en-US"/>
              </w:rPr>
              <w:t>MW</w:t>
            </w:r>
            <w:r w:rsidRPr="00CB1B45">
              <w:rPr>
                <w:sz w:val="20"/>
                <w:szCs w:val="20"/>
              </w:rPr>
              <w:t xml:space="preserve"> και ≤ </w:t>
            </w:r>
            <w:r w:rsidRPr="00974971">
              <w:rPr>
                <w:sz w:val="20"/>
                <w:szCs w:val="20"/>
              </w:rPr>
              <w:t>1</w:t>
            </w:r>
            <w:r>
              <w:rPr>
                <w:sz w:val="20"/>
                <w:szCs w:val="20"/>
              </w:rPr>
              <w:t>0</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λοιπών κατηγοριών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Pr="00974971" w:rsidRDefault="00FF2AB3" w:rsidP="0061721C">
            <w:pPr>
              <w:spacing w:before="60" w:after="60"/>
              <w:jc w:val="left"/>
              <w:rPr>
                <w:sz w:val="20"/>
                <w:szCs w:val="20"/>
              </w:rPr>
            </w:pPr>
            <w:r w:rsidRPr="00CB1B45">
              <w:rPr>
                <w:sz w:val="20"/>
                <w:szCs w:val="20"/>
                <w:lang w:val="en-US"/>
              </w:rPr>
              <w:t>n=</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1</w:t>
            </w:r>
            <w:r w:rsidRPr="00974971">
              <w:rPr>
                <w:sz w:val="20"/>
                <w:szCs w:val="20"/>
              </w:rPr>
              <w:t>0</w:t>
            </w:r>
            <w:r w:rsidRPr="00CB1B45">
              <w:rPr>
                <w:sz w:val="20"/>
                <w:szCs w:val="20"/>
              </w:rPr>
              <w:t xml:space="preserve"> </w:t>
            </w:r>
            <w:r w:rsidRPr="00CB1B45">
              <w:rPr>
                <w:sz w:val="20"/>
                <w:szCs w:val="20"/>
                <w:lang w:val="en-US"/>
              </w:rPr>
              <w:t>Mw</w:t>
            </w:r>
            <w:r w:rsidRPr="00CB1B45">
              <w:rPr>
                <w:sz w:val="20"/>
                <w:szCs w:val="20"/>
              </w:rPr>
              <w:t xml:space="preserve"> και ≤ 3</w:t>
            </w:r>
            <w:r w:rsidRPr="00974971">
              <w:rPr>
                <w:sz w:val="20"/>
                <w:szCs w:val="20"/>
              </w:rPr>
              <w:t>0</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κατηγορίες (α) ή (γ)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r w:rsidRPr="00CB1B45">
              <w:rPr>
                <w:sz w:val="20"/>
                <w:szCs w:val="20"/>
                <w:lang w:val="en-US"/>
              </w:rPr>
              <w:t>n=72%</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1</w:t>
            </w:r>
            <w:r w:rsidRPr="00974971">
              <w:rPr>
                <w:sz w:val="20"/>
                <w:szCs w:val="20"/>
              </w:rPr>
              <w:t>0</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και </w:t>
            </w:r>
            <w:proofErr w:type="spellStart"/>
            <w:r w:rsidRPr="00CB1B45">
              <w:rPr>
                <w:sz w:val="20"/>
                <w:szCs w:val="20"/>
              </w:rPr>
              <w:t>≤3</w:t>
            </w:r>
            <w:r w:rsidRPr="00974971">
              <w:rPr>
                <w:sz w:val="20"/>
                <w:szCs w:val="20"/>
              </w:rPr>
              <w:t>0</w:t>
            </w:r>
            <w:proofErr w:type="spellEnd"/>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λοιπών κατηγοριών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r w:rsidRPr="00CB1B45">
              <w:rPr>
                <w:sz w:val="20"/>
                <w:szCs w:val="20"/>
                <w:lang w:val="en-US"/>
              </w:rPr>
              <w:t>n=</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3</w:t>
            </w:r>
            <w:r w:rsidRPr="00974971">
              <w:rPr>
                <w:sz w:val="20"/>
                <w:szCs w:val="20"/>
              </w:rPr>
              <w:t>0</w:t>
            </w:r>
            <w:r w:rsidRPr="00CB1B45">
              <w:rPr>
                <w:sz w:val="20"/>
                <w:szCs w:val="20"/>
              </w:rPr>
              <w:t xml:space="preserve"> </w:t>
            </w:r>
            <w:r w:rsidRPr="00CB1B45">
              <w:rPr>
                <w:sz w:val="20"/>
                <w:szCs w:val="20"/>
                <w:lang w:val="en-US"/>
              </w:rPr>
              <w:t>M</w:t>
            </w:r>
            <w:r>
              <w:rPr>
                <w:sz w:val="20"/>
                <w:szCs w:val="20"/>
                <w:lang w:val="en-US"/>
              </w:rPr>
              <w:t>W</w:t>
            </w:r>
            <w:r w:rsidRPr="00CB1B45">
              <w:rPr>
                <w:sz w:val="20"/>
                <w:szCs w:val="20"/>
              </w:rPr>
              <w:t xml:space="preserve">  κατηγορίες (α) ή (γ) </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r w:rsidRPr="00CB1B45">
              <w:rPr>
                <w:sz w:val="20"/>
                <w:szCs w:val="20"/>
                <w:lang w:val="en-US"/>
              </w:rPr>
              <w:t>n=72%</w:t>
            </w:r>
            <w:r w:rsidRPr="00CB1B45">
              <w:rPr>
                <w:sz w:val="20"/>
                <w:szCs w:val="20"/>
              </w:rPr>
              <w:t xml:space="preserve">, </w:t>
            </w:r>
            <w:r w:rsidRPr="00CB1B45">
              <w:rPr>
                <w:sz w:val="20"/>
                <w:szCs w:val="20"/>
                <w:lang w:val="en-US"/>
              </w:rPr>
              <w:t>ne = 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r w:rsidR="00FF2AB3" w:rsidRPr="00CB1B45" w:rsidTr="0061721C">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proofErr w:type="spellStart"/>
            <w:r w:rsidRPr="00CB1B45">
              <w:rPr>
                <w:sz w:val="20"/>
                <w:szCs w:val="20"/>
              </w:rPr>
              <w:t>ΣΗΘΥΑ</w:t>
            </w:r>
            <w:proofErr w:type="spellEnd"/>
            <w:r w:rsidRPr="00CB1B45">
              <w:rPr>
                <w:sz w:val="20"/>
                <w:szCs w:val="20"/>
              </w:rPr>
              <w:t xml:space="preserve">  με χρήση Φυσικού Αερίου &gt; 3</w:t>
            </w:r>
            <w:r w:rsidRPr="00974971">
              <w:rPr>
                <w:sz w:val="20"/>
                <w:szCs w:val="20"/>
              </w:rPr>
              <w:t>0</w:t>
            </w:r>
            <w:r w:rsidRPr="00CB1B45">
              <w:rPr>
                <w:sz w:val="20"/>
                <w:szCs w:val="20"/>
              </w:rPr>
              <w:t xml:space="preserve"> M</w:t>
            </w:r>
            <w:r>
              <w:rPr>
                <w:sz w:val="20"/>
                <w:szCs w:val="20"/>
                <w:lang w:val="en-US"/>
              </w:rPr>
              <w:t>W</w:t>
            </w:r>
            <w:r w:rsidRPr="00CB1B45">
              <w:rPr>
                <w:sz w:val="20"/>
                <w:szCs w:val="20"/>
              </w:rPr>
              <w:t xml:space="preserve">  λοιπών κατηγοριών</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F2AB3" w:rsidRDefault="00FF2AB3" w:rsidP="0061721C">
            <w:pPr>
              <w:spacing w:before="60" w:after="60"/>
              <w:jc w:val="left"/>
              <w:rPr>
                <w:sz w:val="20"/>
                <w:szCs w:val="20"/>
              </w:rPr>
            </w:pPr>
            <w:r w:rsidRPr="00CB1B45">
              <w:rPr>
                <w:sz w:val="20"/>
                <w:szCs w:val="20"/>
                <w:lang w:val="en-US"/>
              </w:rPr>
              <w:t>n=</w:t>
            </w:r>
            <w:r w:rsidRPr="00CB1B45">
              <w:rPr>
                <w:sz w:val="20"/>
                <w:szCs w:val="20"/>
              </w:rPr>
              <w:t>67</w:t>
            </w:r>
            <w:r w:rsidRPr="00CB1B45">
              <w:rPr>
                <w:sz w:val="20"/>
                <w:szCs w:val="20"/>
                <w:lang w:val="en-US"/>
              </w:rPr>
              <w:t>%</w:t>
            </w:r>
            <w:r w:rsidRPr="00CB1B45">
              <w:rPr>
                <w:sz w:val="20"/>
                <w:szCs w:val="20"/>
              </w:rPr>
              <w:t xml:space="preserve">, </w:t>
            </w:r>
            <w:r w:rsidRPr="00CB1B45">
              <w:rPr>
                <w:sz w:val="20"/>
                <w:szCs w:val="20"/>
                <w:lang w:val="en-US"/>
              </w:rPr>
              <w:t>ne=3</w:t>
            </w:r>
            <w:r w:rsidRPr="00CB1B45">
              <w:rPr>
                <w:sz w:val="20"/>
                <w:szCs w:val="20"/>
              </w:rPr>
              <w:t>5</w:t>
            </w:r>
            <w:r w:rsidRPr="00CB1B45">
              <w:rPr>
                <w:sz w:val="20"/>
                <w:szCs w:val="20"/>
                <w:lang w:val="en-US"/>
              </w:rPr>
              <w:t>%</w:t>
            </w:r>
            <w:r w:rsidRPr="00CB1B45">
              <w:rPr>
                <w:sz w:val="20"/>
                <w:szCs w:val="20"/>
              </w:rPr>
              <w:t xml:space="preserve">,  </w:t>
            </w:r>
            <w:proofErr w:type="spellStart"/>
            <w:r w:rsidRPr="00CB1B45">
              <w:rPr>
                <w:sz w:val="20"/>
                <w:szCs w:val="20"/>
                <w:lang w:val="en-US"/>
              </w:rPr>
              <w:t>nhr</w:t>
            </w:r>
            <w:proofErr w:type="spellEnd"/>
            <w:r w:rsidRPr="00CB1B45">
              <w:rPr>
                <w:sz w:val="20"/>
                <w:szCs w:val="20"/>
                <w:lang w:val="en-US"/>
              </w:rPr>
              <w:t>=81%</w:t>
            </w:r>
          </w:p>
        </w:tc>
      </w:tr>
    </w:tbl>
    <w:p w:rsidR="00FF2AB3" w:rsidRPr="00CB1B45" w:rsidRDefault="00FF2AB3" w:rsidP="00FF2AB3">
      <w:pPr>
        <w:tabs>
          <w:tab w:val="left" w:pos="1911"/>
        </w:tabs>
      </w:pPr>
    </w:p>
    <w:p w:rsidR="00FF2AB3" w:rsidRPr="00CB1B45" w:rsidRDefault="00FF2AB3" w:rsidP="00FF2AB3">
      <w:pPr>
        <w:tabs>
          <w:tab w:val="left" w:pos="1911"/>
        </w:tabs>
      </w:pPr>
      <w:proofErr w:type="spellStart"/>
      <w:r w:rsidRPr="00CB1B45">
        <w:t>ΜΤΦΑ</w:t>
      </w:r>
      <w:proofErr w:type="spellEnd"/>
      <w:r w:rsidRPr="00CB1B45">
        <w:rPr>
          <w:lang w:val="en-US"/>
        </w:rPr>
        <w:t>t</w:t>
      </w:r>
      <w:r w:rsidRPr="00CB1B45">
        <w:t>: Η ανά μήνα μέση μοναδιαία μικτή τιμή του Φυσικού Αερίου η οποία περιλαμβάνει την τιμή πώλησης με το κόστος μεταφοράς και τον ειδικό φόρο κατανάλωσης (</w:t>
      </w:r>
      <w:proofErr w:type="spellStart"/>
      <w:r w:rsidRPr="00CB1B45">
        <w:t>ΜΤΦΑμ</w:t>
      </w:r>
      <w:proofErr w:type="spellEnd"/>
      <w:r>
        <w:t xml:space="preserve"> ή </w:t>
      </w:r>
      <w:proofErr w:type="spellStart"/>
      <w:r>
        <w:t>ΜΤΦΑη</w:t>
      </w:r>
      <w:proofErr w:type="spellEnd"/>
      <w:r w:rsidRPr="00CB1B45">
        <w:t xml:space="preserve">) στην οποία προστίθεται και το μέσο κόστος </w:t>
      </w:r>
      <w:r w:rsidRPr="00CB1B45">
        <w:rPr>
          <w:lang w:val="en-US"/>
        </w:rPr>
        <w:t>CO</w:t>
      </w:r>
      <w:r w:rsidRPr="00CB1B45">
        <w:t>2 που αντιστοιχεί στην ηλεκτροπαραγωγή.</w:t>
      </w:r>
    </w:p>
    <w:p w:rsidR="00FF2AB3" w:rsidRPr="00CB1B45" w:rsidRDefault="00FF2AB3" w:rsidP="00FF2AB3">
      <w:pPr>
        <w:tabs>
          <w:tab w:val="left" w:pos="1911"/>
        </w:tabs>
      </w:pPr>
      <w:proofErr w:type="spellStart"/>
      <w:r w:rsidRPr="00CB1B45">
        <w:t>ΜΤΦΑμ</w:t>
      </w:r>
      <w:proofErr w:type="spellEnd"/>
      <w:r w:rsidRPr="00CB1B45">
        <w:t>: Η ανά μήνα  μέση μοναδιαία τιμή πώλησης φυσικού αερίου για συμπαραγωγή σε €/</w:t>
      </w:r>
      <w:proofErr w:type="spellStart"/>
      <w:r w:rsidRPr="00CB1B45">
        <w:rPr>
          <w:lang w:val="en-US"/>
        </w:rPr>
        <w:t>MWh</w:t>
      </w:r>
      <w:proofErr w:type="spellEnd"/>
      <w:r w:rsidRPr="00CB1B45">
        <w:t xml:space="preserve"> Ανωτέρας Θερμογόνου Δύναμης (</w:t>
      </w:r>
      <w:proofErr w:type="spellStart"/>
      <w:r w:rsidRPr="00CB1B45">
        <w:t>ΑΘΔ</w:t>
      </w:r>
      <w:proofErr w:type="spellEnd"/>
      <w:r w:rsidRPr="00CB1B45">
        <w:t xml:space="preserve">) στους χρήστες φυσικού αερίου στην Ελλάδα, εξαιρούμενων των πελατών ηλεκτροπαραγωγής. Η τιμή αυτή ορίζεται με μέριμνα της Διεύθυνσης Πετρελαϊκής πολιτικής του </w:t>
      </w:r>
      <w:proofErr w:type="spellStart"/>
      <w:r w:rsidRPr="00CB1B45">
        <w:t>ΥΠΕΚΑ</w:t>
      </w:r>
      <w:proofErr w:type="spellEnd"/>
      <w:r w:rsidRPr="00CB1B45">
        <w:t xml:space="preserve"> και κοινοποιείται ανά μήνα στον </w:t>
      </w:r>
      <w:proofErr w:type="spellStart"/>
      <w:r w:rsidRPr="00CB1B45">
        <w:t>ΛΑΓΗΕ</w:t>
      </w:r>
      <w:proofErr w:type="spellEnd"/>
      <w:r w:rsidRPr="00CB1B45">
        <w:t xml:space="preserve">. </w:t>
      </w:r>
    </w:p>
    <w:p w:rsidR="00FF2AB3" w:rsidRPr="00F87634" w:rsidRDefault="00FF2AB3" w:rsidP="00FF2AB3">
      <w:pPr>
        <w:autoSpaceDE w:val="0"/>
        <w:autoSpaceDN w:val="0"/>
        <w:adjustRightInd w:val="0"/>
        <w:spacing w:line="240" w:lineRule="auto"/>
      </w:pPr>
      <w:proofErr w:type="spellStart"/>
      <w:r w:rsidRPr="00F87634">
        <w:t>Μ.Τ.Φ.Α.η</w:t>
      </w:r>
      <w:proofErr w:type="spellEnd"/>
      <w:r w:rsidRPr="00F87634">
        <w:t xml:space="preserve">: </w:t>
      </w:r>
      <w:r>
        <w:t>Η</w:t>
      </w:r>
      <w:r w:rsidRPr="00F87634">
        <w:t xml:space="preserve"> ανά μήνα μέση μοναδιαία τιμή πώλησης φυσικού αερίου σε €/</w:t>
      </w:r>
      <w:proofErr w:type="spellStart"/>
      <w:r w:rsidRPr="00F87634">
        <w:t>MWh</w:t>
      </w:r>
      <w:proofErr w:type="spellEnd"/>
      <w:r w:rsidRPr="00F87634">
        <w:t xml:space="preserve"> ανωτέρας θερμογόνου δύναμης (</w:t>
      </w:r>
      <w:proofErr w:type="spellStart"/>
      <w:r w:rsidRPr="00F87634">
        <w:t>ΑΘΔ</w:t>
      </w:r>
      <w:proofErr w:type="spellEnd"/>
      <w:r w:rsidRPr="00F87634">
        <w:t xml:space="preserve">) στους χρήστες ΦΑ στην Ελλάδα οι οποίοι είναι πελάτες ηλεκτροπαραγωγής. Η τιμή αυτή ορίζεται με μέριμνα της Διεύθυνσης Πετρελαϊκής Πολιτικής του Υπουργείου Περιβάλλοντος Ενέργειας και Κλιματικής Αλλαγής και κοινοποιείται ανά μήνα στον </w:t>
      </w:r>
      <w:proofErr w:type="spellStart"/>
      <w:r w:rsidRPr="00F87634">
        <w:t>ΛΑΓΗΕ</w:t>
      </w:r>
      <w:proofErr w:type="spellEnd"/>
      <w:r w:rsidRPr="00F87634">
        <w:t>.</w:t>
      </w:r>
    </w:p>
    <w:p w:rsidR="00FF2AB3" w:rsidRDefault="00FF2AB3" w:rsidP="00FF2AB3">
      <w:pPr>
        <w:autoSpaceDE w:val="0"/>
        <w:autoSpaceDN w:val="0"/>
        <w:adjustRightInd w:val="0"/>
        <w:spacing w:line="240" w:lineRule="auto"/>
        <w:rPr>
          <w:rFonts w:ascii="MgHelveticaUCPol" w:hAnsi="MgHelveticaUCPol" w:cs="MgHelveticaUCPol"/>
          <w:sz w:val="18"/>
          <w:szCs w:val="18"/>
          <w:lang w:eastAsia="el-GR"/>
        </w:rPr>
      </w:pPr>
    </w:p>
    <w:p w:rsidR="00FF2AB3" w:rsidRPr="00CB1B45" w:rsidRDefault="00FF2AB3" w:rsidP="00FF2AB3">
      <w:pPr>
        <w:autoSpaceDE w:val="0"/>
        <w:autoSpaceDN w:val="0"/>
        <w:adjustRightInd w:val="0"/>
        <w:spacing w:line="240" w:lineRule="auto"/>
      </w:pPr>
      <w:r w:rsidRPr="00CB1B45">
        <w:t xml:space="preserve">Το μέσο κόστος </w:t>
      </w:r>
      <w:r w:rsidRPr="00CB1B45">
        <w:rPr>
          <w:lang w:val="en-US"/>
        </w:rPr>
        <w:t>CO</w:t>
      </w:r>
      <w:r w:rsidRPr="00CB1B45">
        <w:t>2 υπολογίζεται από την μαθηματική σχέση:</w:t>
      </w:r>
    </w:p>
    <w:p w:rsidR="00FF2AB3" w:rsidRDefault="00FF2AB3" w:rsidP="00FF2AB3">
      <w:pPr>
        <w:tabs>
          <w:tab w:val="left" w:pos="1911"/>
        </w:tabs>
      </w:pPr>
    </w:p>
    <w:p w:rsidR="00FF2AB3" w:rsidRPr="00CB1B45" w:rsidRDefault="00FF2AB3" w:rsidP="00FF2AB3">
      <w:pPr>
        <w:tabs>
          <w:tab w:val="left" w:pos="1911"/>
        </w:tabs>
      </w:pPr>
      <w:r w:rsidRPr="00CB1B45">
        <w:t xml:space="preserve">Μέσο Κόστος </w:t>
      </w:r>
      <w:r w:rsidRPr="00CB1B45">
        <w:rPr>
          <w:lang w:val="en-US"/>
        </w:rPr>
        <w:t>CO</w:t>
      </w:r>
      <w:r w:rsidRPr="00CB1B45">
        <w:t>2  (€/</w:t>
      </w:r>
      <w:proofErr w:type="spellStart"/>
      <w:r w:rsidRPr="00CB1B45">
        <w:rPr>
          <w:lang w:val="en-US"/>
        </w:rPr>
        <w:t>Mwh</w:t>
      </w:r>
      <w:proofErr w:type="spellEnd"/>
      <w:r w:rsidRPr="00CB1B45">
        <w:t xml:space="preserve">) = </w:t>
      </w:r>
      <w:proofErr w:type="spellStart"/>
      <w:r w:rsidRPr="00CB1B45">
        <w:t>0.37*Μέση</w:t>
      </w:r>
      <w:proofErr w:type="spellEnd"/>
      <w:r w:rsidRPr="00CB1B45">
        <w:t xml:space="preserve"> Τιμή Δικαιωμάτων </w:t>
      </w:r>
      <w:r w:rsidRPr="00CB1B45">
        <w:rPr>
          <w:lang w:val="en-US"/>
        </w:rPr>
        <w:t>CO</w:t>
      </w:r>
      <w:r w:rsidRPr="00CB1B45">
        <w:t>2 (€/</w:t>
      </w:r>
      <w:proofErr w:type="spellStart"/>
      <w:r w:rsidRPr="00CB1B45">
        <w:rPr>
          <w:lang w:val="en-US"/>
        </w:rPr>
        <w:t>tn</w:t>
      </w:r>
      <w:proofErr w:type="spellEnd"/>
      <w:r w:rsidRPr="00CB1B45">
        <w:t>)*</w:t>
      </w:r>
      <w:r w:rsidRPr="00CB1B45">
        <w:rPr>
          <w:lang w:val="en-US"/>
        </w:rPr>
        <w:t>ne</w:t>
      </w:r>
    </w:p>
    <w:p w:rsidR="00FF2AB3" w:rsidRPr="00CB1B45" w:rsidRDefault="00FF2AB3" w:rsidP="00FF2AB3">
      <w:pPr>
        <w:tabs>
          <w:tab w:val="left" w:pos="1911"/>
        </w:tabs>
      </w:pPr>
      <w:r w:rsidRPr="00CB1B45">
        <w:t xml:space="preserve">Μέση Τιμή Δικαιωμάτων </w:t>
      </w:r>
      <w:r w:rsidRPr="00CB1B45">
        <w:rPr>
          <w:lang w:val="en-US"/>
        </w:rPr>
        <w:t>CO</w:t>
      </w:r>
      <w:r w:rsidRPr="00CB1B45">
        <w:t>2</w:t>
      </w:r>
      <w:r>
        <w:t>:</w:t>
      </w:r>
      <w:r w:rsidRPr="00CB1B45">
        <w:t xml:space="preserve"> </w:t>
      </w:r>
      <w:r>
        <w:t>Η</w:t>
      </w:r>
      <w:r w:rsidRPr="00CB1B45">
        <w:t xml:space="preserve"> ανά μήνα μέση τιμή των δικαιωμάτων </w:t>
      </w:r>
      <w:r w:rsidRPr="00CB1B45">
        <w:rPr>
          <w:lang w:val="en-US"/>
        </w:rPr>
        <w:t>CO</w:t>
      </w:r>
      <w:r w:rsidRPr="00CB1B45">
        <w:t>2 σε €/</w:t>
      </w:r>
      <w:proofErr w:type="spellStart"/>
      <w:r w:rsidRPr="00CB1B45">
        <w:rPr>
          <w:lang w:val="en-US"/>
        </w:rPr>
        <w:t>tn</w:t>
      </w:r>
      <w:proofErr w:type="spellEnd"/>
      <w:r w:rsidRPr="00CB1B45">
        <w:t xml:space="preserve"> όπως προκύπτει από τα στοιχεία του </w:t>
      </w:r>
      <w:proofErr w:type="spellStart"/>
      <w:r w:rsidRPr="00CB1B45">
        <w:t>ΕΕΧ</w:t>
      </w:r>
      <w:proofErr w:type="spellEnd"/>
      <w:r w:rsidRPr="00CB1B45">
        <w:t xml:space="preserve"> (</w:t>
      </w:r>
      <w:r w:rsidRPr="00CB1B45">
        <w:rPr>
          <w:lang w:val="en-US"/>
        </w:rPr>
        <w:t>Energy</w:t>
      </w:r>
      <w:r w:rsidRPr="00CB1B45">
        <w:t xml:space="preserve"> </w:t>
      </w:r>
      <w:r w:rsidRPr="00CB1B45">
        <w:rPr>
          <w:lang w:val="en-US"/>
        </w:rPr>
        <w:t>Exchange</w:t>
      </w:r>
      <w:r w:rsidRPr="00CB1B45">
        <w:t xml:space="preserve">). Η τιμή αυτή υπολογίζεται με μέριμνα του Γραφείου Εμπορίας Δικαιωμάτων Εκπομπών του </w:t>
      </w:r>
      <w:proofErr w:type="spellStart"/>
      <w:r w:rsidRPr="00CB1B45">
        <w:t>ΥΠΕΚΑ</w:t>
      </w:r>
      <w:proofErr w:type="spellEnd"/>
      <w:r w:rsidRPr="00CB1B45">
        <w:t xml:space="preserve"> και κοινοποιείται ανά μήνα στον </w:t>
      </w:r>
      <w:proofErr w:type="spellStart"/>
      <w:r w:rsidRPr="00CB1B45">
        <w:t>ΛΑΓΗΕ</w:t>
      </w:r>
      <w:proofErr w:type="spellEnd"/>
      <w:r w:rsidRPr="00CB1B45">
        <w:t>.</w:t>
      </w:r>
    </w:p>
    <w:p w:rsidR="00FF2AB3" w:rsidRDefault="00FF2AB3" w:rsidP="00FF2AB3">
      <w:r w:rsidRPr="00CB1B45">
        <w:t xml:space="preserve">Στην περίπτωση που σταθμός </w:t>
      </w:r>
      <w:proofErr w:type="spellStart"/>
      <w:r w:rsidRPr="00CB1B45">
        <w:t>ΣΗΘΥΑ</w:t>
      </w:r>
      <w:proofErr w:type="spellEnd"/>
      <w:r w:rsidRPr="00CB1B45">
        <w:t xml:space="preserve"> των κατηγοριών 19 έως 24 του πίνακα Α αξιοποιεί τα καυσαέρια για γεωργικούς σκοπούς το σταθερό τμήμα της τιμής του πίνακα (τιμή εξαιρουμένου του </w:t>
      </w:r>
      <w:proofErr w:type="spellStart"/>
      <w:r w:rsidRPr="00CB1B45">
        <w:t>ΣΡ</w:t>
      </w:r>
      <w:proofErr w:type="spellEnd"/>
      <w:r w:rsidRPr="00CB1B45">
        <w:t>) προσαυξάνεται κατά 10%.</w:t>
      </w:r>
    </w:p>
    <w:p w:rsidR="00FF2AB3" w:rsidRPr="00CB1B45" w:rsidRDefault="00FF2AB3" w:rsidP="00FF2AB3">
      <w:r>
        <w:t xml:space="preserve">Όπου στην υφιστάμενη νομοθεσία γίνεται αναφορά στις κατηγορίες α </w:t>
      </w:r>
      <w:proofErr w:type="spellStart"/>
      <w:r>
        <w:t>εώς</w:t>
      </w:r>
      <w:proofErr w:type="spellEnd"/>
      <w:r>
        <w:t xml:space="preserve"> ιζ του πίνακα της παρούσης όπως αυτός ίσχυε προ της αντικατάστασής του από τον πίνακα Α αυτή νοείται ως αναφορά στις κατηγορίες 1 έως 28 του πίνακα Α και η αντιστοίχιση γίνεται με βάση την περιγραφή της κάθε κατηγορίας.</w:t>
      </w:r>
      <w:r w:rsidRPr="00CB1B45">
        <w:t>»</w:t>
      </w:r>
      <w:r>
        <w:t>.</w:t>
      </w:r>
    </w:p>
    <w:p w:rsidR="00FF2AB3" w:rsidRPr="00CB1B45" w:rsidRDefault="00FF2AB3" w:rsidP="00FF2AB3">
      <w:pPr>
        <w:tabs>
          <w:tab w:val="left" w:pos="1911"/>
        </w:tabs>
        <w:rPr>
          <w:u w:val="single"/>
        </w:rPr>
      </w:pPr>
      <w:r w:rsidRPr="00CB1B45">
        <w:t xml:space="preserve">2. Στο τέλος του άρθρου 13 του </w:t>
      </w:r>
      <w:proofErr w:type="spellStart"/>
      <w:r w:rsidRPr="00CB1B45">
        <w:t>ν.3468</w:t>
      </w:r>
      <w:proofErr w:type="spellEnd"/>
      <w:r w:rsidRPr="00CB1B45">
        <w:t>/2006 προστίθενται παράγραφοι 9 και 10 ως εξής:</w:t>
      </w:r>
    </w:p>
    <w:p w:rsidR="00FF2AB3" w:rsidRPr="00CB1B45" w:rsidRDefault="00FF2AB3" w:rsidP="00FF2AB3">
      <w:pPr>
        <w:tabs>
          <w:tab w:val="left" w:pos="1911"/>
        </w:tabs>
      </w:pPr>
      <w:r w:rsidRPr="00CB1B45">
        <w:t xml:space="preserve">«9. Με απόφαση του Υπουργού Περιβάλλοντος, Ενέργειας και Κλιματικής Αλλαγής, που εκδίδεται μετά από γνώμη της  </w:t>
      </w:r>
      <w:proofErr w:type="spellStart"/>
      <w:r w:rsidRPr="00CB1B45">
        <w:t>ΡΑΕ</w:t>
      </w:r>
      <w:proofErr w:type="spellEnd"/>
      <w:r w:rsidRPr="00CB1B45">
        <w:t>, μπορεί να μεταβάλλεται και να εξειδικεύεται το σύνολο ή μέρος των στοιχείων του ανωτέρω πίνακα Α και ιδίως όσον αφορά στις τιμές και στην ειδικότερη κατηγοριοποίηση ανά τεχνολογία ΑΠΕ και ισχύ, καθώς και να καθορίζεται ο τρόπος υπολογισμού του συντελεστή ρήτρας φυσικού αερίου (</w:t>
      </w:r>
      <w:proofErr w:type="spellStart"/>
      <w:r w:rsidRPr="00CB1B45">
        <w:t>ΣΡ</w:t>
      </w:r>
      <w:proofErr w:type="spellEnd"/>
      <w:r w:rsidRPr="00CB1B45">
        <w:t xml:space="preserve">). Για τη μεταβολή και εξειδίκευση αυτή λαμβάνονται κυρίως υπόψη η διείσδυση των σταθμών του ανωτέρω πίνακα στο ενεργειακό ισοζύγιο της χώρας και ο βαθμός επίτευξης των εθνικών στόχων διείσδυσης των ΑΠΕ. Με απόφαση του Υπουργού Περιβάλλοντος, Ενέργειας και Κλιματικής Αλλαγής, που εκδίδεται μετά από γνώμη της </w:t>
      </w:r>
      <w:proofErr w:type="spellStart"/>
      <w:r w:rsidRPr="00CB1B45">
        <w:t>ΡΑΕ</w:t>
      </w:r>
      <w:proofErr w:type="spellEnd"/>
      <w:r w:rsidRPr="00CB1B45">
        <w:t xml:space="preserve"> μπορούν να καθορίζονται τα ετήσια όρια εγκατεστημένης ισχύος κάθε κατηγορίας του ανωτέρω πίνακα η επίτευξη των οποίων αποτελεί την κύρια αιτιολογική βάση για μεταβολή των τιμών του πίνακα.</w:t>
      </w:r>
    </w:p>
    <w:p w:rsidR="00FF2AB3" w:rsidRPr="00CB1B45" w:rsidRDefault="00FF2AB3" w:rsidP="00FF2AB3">
      <w:pPr>
        <w:tabs>
          <w:tab w:val="left" w:pos="1911"/>
        </w:tabs>
      </w:pPr>
      <w:r w:rsidRPr="00CB1B45">
        <w:t xml:space="preserve">10. </w:t>
      </w:r>
      <w:r>
        <w:t xml:space="preserve">α) </w:t>
      </w:r>
      <w:r w:rsidRPr="00CB1B45">
        <w:t xml:space="preserve">Για τις κατηγορίες 7, 8, 9, 11, 12, 13, 16 και 17 του πίνακα Α, τα επίπεδα συνολικής ισχύος σταθμών που τίθενται σε δοκιμαστική λειτουργία ή ενεργοποιείται η σύνδεσή τους μετά την 1.1.2014 </w:t>
      </w:r>
      <w:r>
        <w:t xml:space="preserve">και η παραγόμενη ενέργεια των οποίων θα αποζημιώνεται με τις τιμές του πίνακα αυτού </w:t>
      </w:r>
      <w:r w:rsidRPr="00CB1B45">
        <w:t>έχουν ως ακολούθως:</w:t>
      </w:r>
    </w:p>
    <w:p w:rsidR="00FF2AB3" w:rsidRPr="00CB1B45" w:rsidRDefault="00FF2AB3" w:rsidP="00FF2AB3">
      <w:pPr>
        <w:tabs>
          <w:tab w:val="left" w:pos="1911"/>
        </w:tabs>
      </w:pPr>
      <w:r>
        <w:t xml:space="preserve">αα) </w:t>
      </w:r>
      <w:r w:rsidRPr="00CB1B45">
        <w:t xml:space="preserve">Κατηγορίες 7 και 8:  στο Διασυνδεδεμένο Σύστημα 100 </w:t>
      </w:r>
      <w:r w:rsidRPr="00CB1B45">
        <w:rPr>
          <w:lang w:val="en-US"/>
        </w:rPr>
        <w:t>MW</w:t>
      </w:r>
      <w:r w:rsidRPr="00CB1B45">
        <w:t xml:space="preserve">, στο Μη Διασυνδεδεμένο Σύστημα 10% επί της συνολικής εγκατεστημένης ισχύος κάθε ανεξάρτητου συστήματος, </w:t>
      </w:r>
    </w:p>
    <w:p w:rsidR="00FF2AB3" w:rsidRPr="00CB1B45" w:rsidRDefault="00FF2AB3" w:rsidP="00FF2AB3">
      <w:pPr>
        <w:tabs>
          <w:tab w:val="left" w:pos="1911"/>
        </w:tabs>
      </w:pPr>
      <w:proofErr w:type="spellStart"/>
      <w:r>
        <w:t>ββ</w:t>
      </w:r>
      <w:proofErr w:type="spellEnd"/>
      <w:r>
        <w:t xml:space="preserve">) </w:t>
      </w:r>
      <w:r w:rsidRPr="00CB1B45">
        <w:t xml:space="preserve">Κατηγορία 9:  50 </w:t>
      </w:r>
      <w:r w:rsidRPr="00CB1B45">
        <w:rPr>
          <w:lang w:val="en-US"/>
        </w:rPr>
        <w:t>MW</w:t>
      </w:r>
      <w:r w:rsidRPr="00CB1B45">
        <w:t>,</w:t>
      </w:r>
    </w:p>
    <w:p w:rsidR="00FF2AB3" w:rsidRPr="00CB1B45" w:rsidRDefault="00FF2AB3" w:rsidP="00FF2AB3">
      <w:pPr>
        <w:tabs>
          <w:tab w:val="left" w:pos="1911"/>
        </w:tabs>
      </w:pPr>
      <w:proofErr w:type="spellStart"/>
      <w:r>
        <w:t>γγ</w:t>
      </w:r>
      <w:proofErr w:type="spellEnd"/>
      <w:r>
        <w:t xml:space="preserve">) </w:t>
      </w:r>
      <w:r w:rsidRPr="00CB1B45">
        <w:t xml:space="preserve">Κατηγορίες 11 έως 13:  στο Διασυνδεδεμένο Σύστημα 40 </w:t>
      </w:r>
      <w:r w:rsidRPr="00CB1B45">
        <w:rPr>
          <w:lang w:val="en-US"/>
        </w:rPr>
        <w:t>MW</w:t>
      </w:r>
      <w:r w:rsidRPr="00CB1B45">
        <w:t>,</w:t>
      </w:r>
    </w:p>
    <w:p w:rsidR="00FF2AB3" w:rsidRPr="00CB1B45" w:rsidRDefault="00FF2AB3" w:rsidP="00FF2AB3">
      <w:pPr>
        <w:tabs>
          <w:tab w:val="left" w:pos="1911"/>
        </w:tabs>
      </w:pPr>
      <w:proofErr w:type="spellStart"/>
      <w:r>
        <w:t>δδ</w:t>
      </w:r>
      <w:proofErr w:type="spellEnd"/>
      <w:r>
        <w:t xml:space="preserve">) </w:t>
      </w:r>
      <w:r w:rsidRPr="00CB1B45">
        <w:t xml:space="preserve">Κατηγορίες 16 και 17:  στο Διασυνδεδεμένο Σύστημα 25 </w:t>
      </w:r>
      <w:r w:rsidRPr="00CB1B45">
        <w:rPr>
          <w:lang w:val="en-US"/>
        </w:rPr>
        <w:t>MW</w:t>
      </w:r>
      <w:r w:rsidRPr="00CB1B45">
        <w:t>.</w:t>
      </w:r>
    </w:p>
    <w:p w:rsidR="00FF2AB3" w:rsidRDefault="00FF2AB3" w:rsidP="00FF2AB3">
      <w:pPr>
        <w:tabs>
          <w:tab w:val="left" w:pos="1911"/>
        </w:tabs>
      </w:pPr>
      <w:r>
        <w:t xml:space="preserve">β) </w:t>
      </w:r>
      <w:r w:rsidRPr="00CB1B45">
        <w:t>Τα ανωτέρω επίπεδα ισχύος (</w:t>
      </w:r>
      <w:r w:rsidRPr="00CB1B45">
        <w:rPr>
          <w:lang w:val="en-US"/>
        </w:rPr>
        <w:t>MW</w:t>
      </w:r>
      <w:r w:rsidRPr="00CB1B45">
        <w:t xml:space="preserve">) μπορούν να αυξάνονται με απόφαση του Υπουργού Περιβάλλοντος, Ενέργειας και Κλιματικής Αλλαγής, που εκδίδεται μετά από γνώμη της </w:t>
      </w:r>
      <w:proofErr w:type="spellStart"/>
      <w:r w:rsidRPr="00CB1B45">
        <w:t>ΡΑΕ</w:t>
      </w:r>
      <w:proofErr w:type="spellEnd"/>
      <w:r>
        <w:t>,</w:t>
      </w:r>
      <w:r w:rsidRPr="00CB1B45">
        <w:t xml:space="preserve"> λαμβάνοντας υπόψη τη μείωση του κόστους των τεχνολογιών και τη διαμόρφωση των τιμών του πίνακα </w:t>
      </w:r>
      <w:r w:rsidRPr="00CB1B45">
        <w:rPr>
          <w:lang w:val="en-US"/>
        </w:rPr>
        <w:t>A</w:t>
      </w:r>
      <w:r w:rsidRPr="00CB1B45">
        <w:t xml:space="preserve"> της παραγράφου 1</w:t>
      </w:r>
      <w:r>
        <w:t>.</w:t>
      </w:r>
    </w:p>
    <w:p w:rsidR="00FF2AB3" w:rsidRDefault="00FF2AB3" w:rsidP="00FF2AB3">
      <w:pPr>
        <w:tabs>
          <w:tab w:val="left" w:pos="1911"/>
        </w:tabs>
      </w:pPr>
      <w:r>
        <w:t xml:space="preserve">γ) Η παραγόμενη ενέργεια σταθμών οι οποίοι </w:t>
      </w:r>
      <w:r w:rsidRPr="00CB1B45">
        <w:t>τίθενται σε δοκιμαστική λειτουργία ή ενεργοποιείται η σύνδεσή τους μετά την 1.1.2014</w:t>
      </w:r>
      <w:r>
        <w:t xml:space="preserve"> καθ’ υπέρβαση των</w:t>
      </w:r>
      <w:r w:rsidRPr="00CB1B45">
        <w:t xml:space="preserve"> επ</w:t>
      </w:r>
      <w:r>
        <w:t xml:space="preserve">ιπέδων </w:t>
      </w:r>
      <w:r w:rsidRPr="00CB1B45">
        <w:t>συνολικής ισχύος</w:t>
      </w:r>
      <w:r>
        <w:t xml:space="preserve"> της παρούσας εγχέεται στο ηλεκτρικό Σύστημα/ Δίκτυο </w:t>
      </w:r>
      <w:r w:rsidRPr="00CB1B45">
        <w:t>με όρους λειτουργίας συστήματος και αγοράς</w:t>
      </w:r>
      <w:r>
        <w:t>.</w:t>
      </w:r>
    </w:p>
    <w:p w:rsidR="00FF2AB3" w:rsidRPr="00CB1B45" w:rsidRDefault="00FF2AB3" w:rsidP="00FF2AB3">
      <w:pPr>
        <w:tabs>
          <w:tab w:val="left" w:pos="1911"/>
        </w:tabs>
      </w:pPr>
      <w:r w:rsidRPr="00974971">
        <w:t xml:space="preserve">δ) Με απόφαση του Υπουργού Περιβάλλοντος, Ενέργειας και Κλιματικής Αλλαγής, που εκδίδεται μετά από γνώμη της </w:t>
      </w:r>
      <w:proofErr w:type="spellStart"/>
      <w:r w:rsidRPr="00974971">
        <w:t>ΡΑΕ</w:t>
      </w:r>
      <w:proofErr w:type="spellEnd"/>
      <w:r w:rsidRPr="00974971">
        <w:t xml:space="preserve"> δύναται να ρυθμίζεται κάθε αναγκαίο θέμα για την εφαρμογή των διατάξεων της παρούσης παραγράφου.</w:t>
      </w:r>
      <w:r>
        <w:t>».</w:t>
      </w:r>
    </w:p>
    <w:p w:rsidR="00FF2AB3" w:rsidRPr="00CB1B45" w:rsidRDefault="00FF2AB3" w:rsidP="00FF2AB3">
      <w:pPr>
        <w:tabs>
          <w:tab w:val="left" w:pos="1911"/>
        </w:tabs>
        <w:rPr>
          <w:b/>
          <w:u w:val="single"/>
        </w:rPr>
      </w:pPr>
    </w:p>
    <w:p w:rsidR="00FF2AB3" w:rsidRPr="00CB1B45" w:rsidRDefault="00FF2AB3" w:rsidP="00FF2AB3">
      <w:r w:rsidRPr="00CB1B45">
        <w:t>3. Οι παράγραφοι 3 και 7 του άρθρου 13 του νόμου 3468/2006 τροποποιούνται και προστίθεται παράγραφος 8 ως ακολούθως:</w:t>
      </w:r>
    </w:p>
    <w:p w:rsidR="00FF2AB3" w:rsidRPr="00CB1B45" w:rsidRDefault="00FF2AB3" w:rsidP="00FF2AB3">
      <w:r w:rsidRPr="00CB1B45">
        <w:t>«3. Για την τιμολόγηση της διαθεσιμότητας ισχύος Υβριδικών Σταθμών που συνδέονται στο Δίκτυο Μη Διασυνδεδεμένων Νησιών, της ηλεκτρικής ενέργειας που απορροφούν οι σταθμοί αυτοί από το Δίκτυο Μη Διασυνδεδεμένων Νησιών, καθώς και της ηλεκτρικής ενέργειας που οι Υβριδικοί Σταθμοί εγχέουν στο Δίκτυο αυτό, ισχύουν τα ακόλουθα:</w:t>
      </w:r>
    </w:p>
    <w:p w:rsidR="00FF2AB3" w:rsidRPr="00CB1B45" w:rsidRDefault="00FF2AB3" w:rsidP="00FF2AB3">
      <w:r w:rsidRPr="00CB1B45">
        <w:t>α) Η διαθεσιμότητα ισχύος των μονάδων ελεγχόμενης παραγωγής του Υβριδικού Σταθμού που συνδέεται στο Δίκτυο Μη Διασυνδεδεμένου Νησιού τιμολογείται, σε μηνιαία βάση, σε ευρώ ανά μεγαβάτ εγγυημένης ισχύος (€/MW). Η εγγυημένη ισχύς, οι χρονικές περίοδοι κατά τις οποίες παρέχεται αυτή, καθώς και η τιμή με βάση την οποία τιμολογείται η διαθεσιμότητα ισχύος, καθορίζονται στην άδεια παραγωγής του Υβριδικού Σταθμού. Για την τιμολόγηση διαθεσιμότητας ισχύος λαμβάνεται υπόψη το εκτιμώμενο κόστος κατασκευής και το σταθερό κόστος λειτουργίας νεοεισερχόμενου συμβατικού σταθμού παραγωγής στο Αυτόνομο Ηλεκτρικό Σύστημα του Μη Διασυνδεδεμένου Νησιού. Το τίμημα που λαμβάνει ο Παραγωγός για τη διαθεσιμότητα των μονάδων ελεγχόμενης παραγωγής Υβριδικού Σταθμού δεν μπορεί να υπολείπεται του τιμήματος που καταβάλλεται για τη διαθεσιμότητα των μονάδων του νεοεισερχόμενου συμβατικού σταθμού παραγωγής, με αντίστοιχη ισχύ.</w:t>
      </w:r>
    </w:p>
    <w:p w:rsidR="00FF2AB3" w:rsidRPr="00CB1B45" w:rsidRDefault="00FF2AB3" w:rsidP="00FF2AB3">
      <w:r w:rsidRPr="00CB1B45">
        <w:t>Ως νεοεισερχόμενος συμβατικός σταθμός παραγωγής στο Αυτόνομο Ηλεκτρικό Σύστημα Μη Διασυνδεδεμένου Νησιού, λαμβάνεται υπόψη ο σταθμός παραγωγής ηλεκτρικής ενέργειας με χρήση συμβατικών καυσίμων, που λογίζεται ότι κατασκευάζεται κατά το χρόνο εξέτασης της αίτησης για τη χορήγηση άδειας παραγωγής ηλεκτρικής ενέργειας από Υβριδικό Σταθμό, με σκοπό την απρόσκοπτη ηλεκτροδότηση του Μη Διασυνδεδεμένου Νησιού, κατά τα προβλεπόμενα στον Κώδικα Διαχείρισης Μη Διασυνδεδεμένων Νησιών.</w:t>
      </w:r>
    </w:p>
    <w:p w:rsidR="00FF2AB3" w:rsidRPr="00CB1B45" w:rsidRDefault="00FF2AB3" w:rsidP="00FF2AB3">
      <w:r w:rsidRPr="00CB1B45">
        <w:t xml:space="preserve">β) Η τιμή, με βάση την οποία τιμολογείται η ηλεκτρική ενέργεια που παράγεται από τις μονάδες ελεγχόμενης παραγωγής Υβριδικού Σταθμού που αξιοποιούν την αποθηκευμένη ενέργεια στο σύστημα αποθήκευσής του και εγχέεται στο Δίκτυο του Μη Διασυνδεδεμένου Νησιού, καθορίζεται στην άδεια παραγωγής του Υβριδικού Σταθμού. Ο καθορισμός αυτός γίνεται με βάση το μέσο οριακό μεταβλητό κόστος παραγωγής ηλεκτρικής ενέργειας που εκτιμάται ότι έχουν, κατά το χρόνο έκδοσης της άδειας παραγωγής, οι συμβατικές μονάδες του Αυτόνομου Ηλεκτρικού Συστήματος για την κάλυψη της ηλεκτρικής ενέργειας που ζητείται από το Μη Διασυνδεδεμένο Νησί και η οποία καλύπτεται, εν προκειμένω, από τις ανωτέρω μονάδες ελεγχόμενης παραγωγής του Υβριδικού Σταθμού. Η τιμή που ορίζεται στο πρώτο εδάφιο δεν μπορεί να είναι κατώτερη από την τιμή με την οποία τιμολογείται η ηλεκτρική ενέργεια που απορροφά ο Υβριδικός Σταθμός από το Δίκτυο για την πλήρωση του συστήματος αποθήκευσής του, προσαυξημένη με ποσοστό 25%. Επιπλέον της τιμής που ορίζεται στο πρώτο εδάφιο, στην άδεια παραγωγής καθορίζεται ελάχιστη τιμή για την ηλεκτρική ενέργεια που παράγεται από τις μονάδες ελεγχόμενης παραγωγής Υβριδικού Σταθμού που αξιοποιούν την αποθηκευμένη ενέργεια στο σύστημα αποθήκευσής του και εγχέεται στο Δίκτυο του Μη Διασυνδεδεμένου Νησιού. Ο προηγούμενος καθορισμός γίνεται με βάση την εγγυημένη τιμή των αιολικών σταθμών της περίπτωσης α (χωρίς χρήση κινήτρων) του Πίνακα του άρθρου 5 του παρόντος νόμου, που κάθε φορά ισχύει στα Μη Διασυνδεδεμένα Νησιά επαυξημένη κατά 50% ώστε να καλύπτονται οι απώλειες ενέργειας στον κύκλο αποθήκευσης του υβριδικού σταθμού. </w:t>
      </w:r>
    </w:p>
    <w:p w:rsidR="00FF2AB3" w:rsidRPr="00CB1B45" w:rsidRDefault="00FF2AB3" w:rsidP="00FF2AB3">
      <w:r w:rsidRPr="00CB1B45">
        <w:t>γ) Η τιμή, με βάση την οποία τιμολογείται το σύνολο της ηλεκτρικής ενέργειας που απορροφά ο Υβριδικός Σταθμός από το Δίκτυο του Μη Διασυνδεδεμένου Νησιού για την πλήρωση του συστήματος αποθήκευσής του, καθορίζεται στην άδεια παραγωγής του Υβριδικού Σταθμού. Ο καθορισμός της τιμής αυτής γίνεται με βάση το μέσο μεταβλητό κόστος παραγωγής των μονάδων βάσης του Αυτόνομου Ηλεκτρικού Συστήματος του Μη Διασυνδεδεμένου Νησιού κατά το χρόνο έκδοσης της άδειας παραγωγής.</w:t>
      </w:r>
    </w:p>
    <w:p w:rsidR="00FF2AB3" w:rsidRPr="00CB1B45" w:rsidRDefault="00FF2AB3" w:rsidP="00FF2AB3">
      <w:r w:rsidRPr="00CB1B45">
        <w:t>δ) Το σύνολο της ηλεκτρικής ενέργειας που οι μονάδες ΑΠΕ Υβριδικού Σταθμού εγχέουν απευθείας στο Δίκτυο του Μη Διασυνδεδεμένου Νησιού, τιμολογείται κατά τα οριζόμενα στην παράγραφο 1, ανάλογα με το είδος του σταθμού Α.Π.Ε.</w:t>
      </w:r>
    </w:p>
    <w:p w:rsidR="00FF2AB3" w:rsidRPr="00CB1B45" w:rsidRDefault="00FF2AB3" w:rsidP="00FF2AB3">
      <w:r w:rsidRPr="00CB1B45">
        <w:t xml:space="preserve">ε) Η ηλεκτρική ενέργεια που παράγεται από τις μονάδες ΑΠΕ του Υβριδικού Σταθμού και εγχέεται απευθείας στο Δίκτυο </w:t>
      </w:r>
      <w:proofErr w:type="spellStart"/>
      <w:r w:rsidRPr="00CB1B45">
        <w:t>Mη</w:t>
      </w:r>
      <w:proofErr w:type="spellEnd"/>
      <w:r w:rsidRPr="00CB1B45">
        <w:t xml:space="preserve"> Διασυνδεδεμένου Νησιού, μπορεί να συμψηφίζεται με την ενέργεια που απορροφά από το Δίκτυο αυτό ο Υβριδικός Σταθμός για την πλήρωση των συστημάτων αποθήκευσής του. Το δικαίωμα συμψηφισμού αναγνωρίζεται μετά από σχετική αίτηση του παραγωγού και αναγράφεται στην οικεία άδεια παραγωγής κατά την έκδοση ή την τροποποίηση της άδειας αυτής. Στην περίπτωση αυτή, η τιμολόγηση των περιπτώσεων </w:t>
      </w:r>
      <w:proofErr w:type="spellStart"/>
      <w:r w:rsidRPr="00CB1B45">
        <w:t>γ΄</w:t>
      </w:r>
      <w:proofErr w:type="spellEnd"/>
      <w:r w:rsidRPr="00CB1B45">
        <w:t xml:space="preserve"> και </w:t>
      </w:r>
      <w:proofErr w:type="spellStart"/>
      <w:r w:rsidRPr="00CB1B45">
        <w:t>δ΄</w:t>
      </w:r>
      <w:proofErr w:type="spellEnd"/>
      <w:r w:rsidRPr="00CB1B45">
        <w:t>, αφορά την ηλεκτρική ενέργεια που υπολογίζεται ότι απορροφάται ή εγχέεται στο Δίκτυο, μετά τον ανωτέρω συμψηφισμό, όπως ρητά αναγράφεται στην οικεία άδεια παραγωγής.</w:t>
      </w:r>
    </w:p>
    <w:p w:rsidR="00FF2AB3" w:rsidRPr="00CB1B45" w:rsidRDefault="00FF2AB3" w:rsidP="00FF2AB3">
      <w:r w:rsidRPr="00CB1B45">
        <w:t xml:space="preserve">στ) Η ετήσια αναπροσαρμογή της τιμής, με βάση την οποία τιμολογείται η ηλεκτρική ενέργεια που παράγεται από τις μονάδες ελεγχόμενης παραγωγής Υβριδικού Σταθμού που αξιοποιούν την αποθηκευμένη ενέργεια στο σύστημα αποθήκευσής του και εγχέεται στο Δίκτυο του Μη Διασυνδεδεμένου Νησιού, καθορίζεται στην άδεια παραγωγής. Ο καθορισμός γίνεται με τη χρήση συντελεστή (Συντελεστής Ρήτρας Πετρελαίου) ο οποίος περιλαμβάνει αποκλειστικά τις μεταβολές των διεθνών τιμών του πετρελαίου </w:t>
      </w:r>
      <w:r w:rsidRPr="00CB1B45">
        <w:rPr>
          <w:lang w:val="en-US"/>
        </w:rPr>
        <w:t>Brent</w:t>
      </w:r>
      <w:r w:rsidRPr="00CB1B45">
        <w:t xml:space="preserve">.  </w:t>
      </w:r>
    </w:p>
    <w:p w:rsidR="00FF2AB3" w:rsidRPr="00CB1B45" w:rsidRDefault="00FF2AB3" w:rsidP="00FF2AB3">
      <w:r w:rsidRPr="00CB1B45">
        <w:t xml:space="preserve">7. Με απόφαση της </w:t>
      </w:r>
      <w:proofErr w:type="spellStart"/>
      <w:r w:rsidRPr="00CB1B45">
        <w:t>ΡΑΕ</w:t>
      </w:r>
      <w:proofErr w:type="spellEnd"/>
      <w:r w:rsidRPr="00CB1B45">
        <w:t xml:space="preserve"> θα αναπροσαρμόζονται κατά τα οριζόμενα στις περιπτώσεις </w:t>
      </w:r>
      <w:proofErr w:type="spellStart"/>
      <w:r w:rsidRPr="00CB1B45">
        <w:t>α΄</w:t>
      </w:r>
      <w:proofErr w:type="spellEnd"/>
      <w:r w:rsidRPr="00CB1B45">
        <w:t xml:space="preserve">, </w:t>
      </w:r>
      <w:proofErr w:type="spellStart"/>
      <w:r w:rsidRPr="00CB1B45">
        <w:t>β΄</w:t>
      </w:r>
      <w:proofErr w:type="spellEnd"/>
      <w:r w:rsidRPr="00CB1B45">
        <w:t xml:space="preserve"> και </w:t>
      </w:r>
      <w:proofErr w:type="spellStart"/>
      <w:r w:rsidRPr="00CB1B45">
        <w:t>γ΄</w:t>
      </w:r>
      <w:proofErr w:type="spellEnd"/>
      <w:r w:rsidRPr="00CB1B45">
        <w:t xml:space="preserve"> της παραγράφου 3 ανά πενταετία η τιμή της ηλεκτρικής ενέργειας που παράγεται ή απορροφάται από Υβριδικό Σταθμό Α.Π.Ε. και ανά δεκαετία η τιμή της διαθεσιμότητας ισχύος του Υβριδικού Σταθμού Α.Π.Ε. διακριτά για κάθε αυτόνομο σύστημα. Οι άδειες που θα χορηγούνται θα αναφέρονται στις τιμές που ισχύουν κατά το χρόνο χορήγησής τους.</w:t>
      </w:r>
    </w:p>
    <w:p w:rsidR="00FF2AB3" w:rsidRPr="00CB1B45" w:rsidRDefault="00FF2AB3" w:rsidP="00FF2AB3">
      <w:r w:rsidRPr="00CB1B45">
        <w:t xml:space="preserve">8. Για τις περιπτώσεις Υβριδικών Σταθμών Α.Π.Ε. που έχει ήδη εκδοθεί άδεια παραγωγής η </w:t>
      </w:r>
      <w:proofErr w:type="spellStart"/>
      <w:r w:rsidRPr="00CB1B45">
        <w:t>ΡΑΕ</w:t>
      </w:r>
      <w:proofErr w:type="spellEnd"/>
      <w:r w:rsidRPr="00CB1B45">
        <w:t xml:space="preserve"> οφείλει μετά από αίτημα των ενδιαφερομένων και εντός 3 μηνών από την έναρξη ισχύος του νόμου, το αργότερο, να τροποποιήσει την άδεια σύμφωνα με τα προβλεπόμενα στην παράγραφο 3.</w:t>
      </w:r>
      <w:r>
        <w:t>»</w:t>
      </w:r>
    </w:p>
    <w:p w:rsidR="00FF2AB3" w:rsidRPr="00CB1B45" w:rsidRDefault="00FF2AB3" w:rsidP="00FC1786">
      <w:pPr>
        <w:pStyle w:val="1"/>
      </w:pPr>
      <w:r w:rsidRPr="00CB1B45">
        <w:t xml:space="preserve">Άρθρο </w:t>
      </w:r>
      <w:r>
        <w:t>6</w:t>
      </w:r>
      <w:r w:rsidRPr="00CB1B45">
        <w:t xml:space="preserve"> </w:t>
      </w:r>
    </w:p>
    <w:p w:rsidR="00FF2AB3" w:rsidRPr="00CB1B45" w:rsidRDefault="00FF2AB3" w:rsidP="00FC1786">
      <w:pPr>
        <w:pStyle w:val="1"/>
      </w:pPr>
      <w:r w:rsidRPr="00CB1B45">
        <w:t xml:space="preserve">Τροποποίηση άρθρου </w:t>
      </w:r>
      <w:r>
        <w:t>27Α</w:t>
      </w:r>
      <w:r w:rsidRPr="00CB1B45">
        <w:t xml:space="preserve"> του </w:t>
      </w:r>
      <w:proofErr w:type="spellStart"/>
      <w:r w:rsidRPr="00CB1B45">
        <w:t>ν.3</w:t>
      </w:r>
      <w:r>
        <w:t>734</w:t>
      </w:r>
      <w:proofErr w:type="spellEnd"/>
      <w:r w:rsidRPr="00CB1B45">
        <w:t>/200</w:t>
      </w:r>
      <w:r>
        <w:t>9</w:t>
      </w:r>
    </w:p>
    <w:p w:rsidR="00FF2AB3" w:rsidRDefault="00FF2AB3" w:rsidP="00FF2AB3">
      <w:r>
        <w:t>Στο τέλος του άρθρου 27</w:t>
      </w:r>
      <w:r>
        <w:rPr>
          <w:vertAlign w:val="superscript"/>
        </w:rPr>
        <w:t xml:space="preserve"> </w:t>
      </w:r>
      <w:r>
        <w:t xml:space="preserve">Α του </w:t>
      </w:r>
      <w:proofErr w:type="spellStart"/>
      <w:r>
        <w:t>ν.3734</w:t>
      </w:r>
      <w:proofErr w:type="spellEnd"/>
      <w:r>
        <w:t>/2009 (</w:t>
      </w:r>
      <w:proofErr w:type="spellStart"/>
      <w:r>
        <w:t>Α΄</w:t>
      </w:r>
      <w:proofErr w:type="spellEnd"/>
      <w:r>
        <w:t xml:space="preserve"> 8) προστίθεται παράγραφος 10 ως εξής:</w:t>
      </w:r>
    </w:p>
    <w:p w:rsidR="00FF2AB3" w:rsidRPr="00BD2D93" w:rsidRDefault="00FF2AB3" w:rsidP="00FF2AB3">
      <w:r>
        <w:t xml:space="preserve">«10. α) Το επίπεδο συνολικής ισχύος σταθμών που τίθενται σε δοκιμαστική λειτουργία ή ενεργοποιείται η σύνδεσή τους μετά την 1.1.2014 και η παραγόμενη ενέργεια των οποίων θα αποζημιώνεται με τις τιμές του πίνακα της παραγράφου 3 </w:t>
      </w:r>
      <w:r w:rsidRPr="00977B29">
        <w:t>ανέρχεται</w:t>
      </w:r>
      <w:r>
        <w:t xml:space="preserve"> σε 200 </w:t>
      </w:r>
      <w:r>
        <w:rPr>
          <w:lang w:val="en-US"/>
        </w:rPr>
        <w:t>MW</w:t>
      </w:r>
      <w:r w:rsidRPr="00BD2D93">
        <w:t xml:space="preserve"> </w:t>
      </w:r>
      <w:r>
        <w:t xml:space="preserve">ανά έτος μέχρι και το έτος 2020. Εάν το σύνολο της ισχύος σταθμών που τίθενται σε δοκιμαστική λειτουργία ή ενεργοποιείται η σύνδεσή τους στο τέλος εκάστου έτους υπολείπεται των 200 </w:t>
      </w:r>
      <w:r>
        <w:rPr>
          <w:lang w:val="en-US"/>
        </w:rPr>
        <w:t>MW</w:t>
      </w:r>
      <w:r>
        <w:t xml:space="preserve">, η διαφορά προσαυξάνει το επίπεδο συνολικής ισχύος των 200 </w:t>
      </w:r>
      <w:r>
        <w:rPr>
          <w:lang w:val="en-US"/>
        </w:rPr>
        <w:t>MW</w:t>
      </w:r>
      <w:r w:rsidRPr="003E0F3C">
        <w:t xml:space="preserve"> </w:t>
      </w:r>
      <w:r>
        <w:t>του επόμενου έτους.</w:t>
      </w:r>
    </w:p>
    <w:p w:rsidR="00FF2AB3" w:rsidRDefault="00FF2AB3" w:rsidP="00FF2AB3">
      <w:r>
        <w:t xml:space="preserve">β) Ειδικά το επίπεδο συνολικής ισχύος σταθμών που έχουν ενταχθεί στη διαδικασία </w:t>
      </w:r>
      <w:proofErr w:type="spellStart"/>
      <w:r>
        <w:t>αδειοδότησης</w:t>
      </w:r>
      <w:proofErr w:type="spellEnd"/>
      <w:r>
        <w:t xml:space="preserve"> κατά την έννοια του άρθρου 9 του </w:t>
      </w:r>
      <w:proofErr w:type="spellStart"/>
      <w:r>
        <w:t>ν.3775</w:t>
      </w:r>
      <w:proofErr w:type="spellEnd"/>
      <w:r>
        <w:t xml:space="preserve">/2009 και σταθμών που έχουν ενταχθεί στη Διαδικασία Στρατηγικών Επενδύσεων του </w:t>
      </w:r>
      <w:proofErr w:type="spellStart"/>
      <w:r>
        <w:t>ν.3894</w:t>
      </w:r>
      <w:proofErr w:type="spellEnd"/>
      <w:r>
        <w:t>/2010</w:t>
      </w:r>
      <w:r w:rsidRPr="00BD2D93">
        <w:t xml:space="preserve"> </w:t>
      </w:r>
      <w:r>
        <w:t xml:space="preserve">και η παραγόμενη ενέργεια των οποίων θα αποζημιώνεται με τις τιμές του πίνακα ανέρχεται σε 300 </w:t>
      </w:r>
      <w:r>
        <w:rPr>
          <w:lang w:val="en-US"/>
        </w:rPr>
        <w:t>MW</w:t>
      </w:r>
      <w:r w:rsidRPr="00536FEC">
        <w:t xml:space="preserve"> </w:t>
      </w:r>
      <w:r>
        <w:t xml:space="preserve">μέχρι και το έτος 2020 και έως 100 </w:t>
      </w:r>
      <w:r>
        <w:rPr>
          <w:lang w:val="en-US"/>
        </w:rPr>
        <w:t>MW</w:t>
      </w:r>
      <w:r w:rsidRPr="005E1619">
        <w:t xml:space="preserve"> </w:t>
      </w:r>
      <w:r>
        <w:t>ανά ενταγμένο επενδυτικό σχέδιο.</w:t>
      </w:r>
    </w:p>
    <w:p w:rsidR="00FF2AB3" w:rsidRDefault="00FF2AB3" w:rsidP="00FF2AB3">
      <w:r>
        <w:t>γ) Τα ανωτέρω επίπεδα ισχύος (</w:t>
      </w:r>
      <w:r>
        <w:rPr>
          <w:lang w:val="en-US"/>
        </w:rPr>
        <w:t>MW</w:t>
      </w:r>
      <w:r w:rsidRPr="00B01077">
        <w:t xml:space="preserve">) </w:t>
      </w:r>
      <w:r>
        <w:t xml:space="preserve">μπορούν να αναπροσαρμόζονται με απόφαση του Υπουργού Περιβάλλοντος, Ενέργειας και Κλιματικής Αλλαγής, που εκδίδεται μετά από γνώμη της </w:t>
      </w:r>
      <w:proofErr w:type="spellStart"/>
      <w:r>
        <w:t>ΡΑΕ</w:t>
      </w:r>
      <w:proofErr w:type="spellEnd"/>
      <w:r>
        <w:t>, έως το τέλος εκάστου έτους και αφορά την επόμενη διετία λαμβάνοντας υπόψη τις κατευθύνσεις του ενεργειακού σχεδιασμού και τις ανάγκες του ενεργειακού συστήματος, την πορεία επίτευξης των στόχων που καθορίζονται βάσει του άρθρου 1 του ν. 3468/2006, τη μείωση του κόστους των τεχνολογιών και τη διαμόρφωση των τιμών του πίνακα της παραγράφου 3, όπως κάθε φορά ισχύει.</w:t>
      </w:r>
    </w:p>
    <w:p w:rsidR="00FF2AB3" w:rsidRDefault="00FF2AB3" w:rsidP="00FF2AB3">
      <w:r>
        <w:t xml:space="preserve">δ) Η παραγόμενη ενέργεια σταθμών οι οποίοι τίθενται σε δοκιμαστική λειτουργία ή ενεργοποιείται η σύνδεσή τους σε δεδομένο έτος καθ’ υπέρβαση των επιπέδων συνολικής ισχύος της παρούσας για το συγκεκριμένο έτος εγχέεται, για το συγκεκριμένο έτος, στο ηλεκτρικό Σύστημα / Δίκτυο με όρους λειτουργίας συστήματος και αγοράς. Η ισχύς των σταθμών του προηγούμενου εδαφίου </w:t>
      </w:r>
      <w:proofErr w:type="spellStart"/>
      <w:r>
        <w:t>προσμετράται</w:t>
      </w:r>
      <w:proofErr w:type="spellEnd"/>
      <w:r>
        <w:t xml:space="preserve"> στο επίπεδο συνολικής ισχύος του επόμενου έτους και η παραγόμενη ενέργεια των εν λόγω σταθμών αποζημιώνεται εφεξής με τις τιμές του πίνακα της παραγράφου 3,</w:t>
      </w:r>
      <w:r w:rsidRPr="0016241A">
        <w:t xml:space="preserve"> </w:t>
      </w:r>
      <w:r>
        <w:t>όπως κάθε φορά ισχύει.</w:t>
      </w:r>
    </w:p>
    <w:p w:rsidR="00FF2AB3" w:rsidRDefault="00FF2AB3" w:rsidP="00FF2AB3">
      <w:r w:rsidRPr="00974971">
        <w:t xml:space="preserve">ε) Με απόφαση του Υπουργού Περιβάλλοντος, Ενέργειας και Κλιματικής Αλλαγής, που εκδίδεται μετά από γνώμη της </w:t>
      </w:r>
      <w:proofErr w:type="spellStart"/>
      <w:r w:rsidRPr="00974971">
        <w:t>ΡΑΕ</w:t>
      </w:r>
      <w:proofErr w:type="spellEnd"/>
      <w:r w:rsidRPr="00974971">
        <w:t xml:space="preserve"> δύναται να ρυθμίζεται κάθε αναγκαίο θέμα για την εφαρμογή των διατάξεων της παρούσης παραγράφου.</w:t>
      </w:r>
    </w:p>
    <w:p w:rsidR="00FF2AB3" w:rsidRDefault="00FF2AB3" w:rsidP="00FF2AB3">
      <w:r>
        <w:t>στ) Κατά παρέκκλιση των ανωτέρω, μ</w:t>
      </w:r>
      <w:r w:rsidRPr="006E664B">
        <w:t xml:space="preserve">ε απόφαση του Υπουργού Περιβάλλοντος, Ενέργειας και Κλιματικής Αλλαγής, που εκδίδεται μετά από γνώμη της </w:t>
      </w:r>
      <w:proofErr w:type="spellStart"/>
      <w:r w:rsidRPr="006E664B">
        <w:t>ΡΑΕ</w:t>
      </w:r>
      <w:proofErr w:type="spellEnd"/>
      <w:r w:rsidRPr="006E664B">
        <w:t xml:space="preserve"> δύναται</w:t>
      </w:r>
      <w:r>
        <w:t xml:space="preserve"> το επίπεδο των 200 </w:t>
      </w:r>
      <w:proofErr w:type="spellStart"/>
      <w:r w:rsidRPr="00974971">
        <w:t>MW</w:t>
      </w:r>
      <w:proofErr w:type="spellEnd"/>
      <w:r w:rsidRPr="00974971">
        <w:t xml:space="preserve"> </w:t>
      </w:r>
      <w:r>
        <w:t xml:space="preserve">της περίπτωσης α) να επιμερίζεται στη βάση μειοδοτικής διαγωνιστικής διαδικασίας. Με την ίδια απόφαση </w:t>
      </w:r>
      <w:r w:rsidRPr="00974971">
        <w:t>καθορίζονται οι όροι και οι προϋποθέσεις, καθώς και λοιπά κριτήρια της διαγωνιστικής διαδικασίας για την υποβολή αιτημάτων βάσει τιμολόγησης της παραγόμενης ηλεκτρικής ενέργειας.».</w:t>
      </w:r>
    </w:p>
    <w:p w:rsidR="00395176" w:rsidRPr="00FC1786" w:rsidRDefault="00395176" w:rsidP="00FC1786">
      <w:pPr>
        <w:pStyle w:val="1"/>
      </w:pPr>
      <w:r w:rsidRPr="00FC1786">
        <w:t>Άρθρο 7</w:t>
      </w:r>
    </w:p>
    <w:p w:rsidR="00395176" w:rsidRPr="00CB1B45" w:rsidRDefault="00395176" w:rsidP="00395176">
      <w:pPr>
        <w:tabs>
          <w:tab w:val="left" w:pos="1911"/>
        </w:tabs>
      </w:pPr>
      <w:r w:rsidRPr="00CB1B45">
        <w:t>1. Το τέλος του άρθρου 25 του ν. 3468/2006 μειώνεται σε ποσοστό 50% για σταθμούς ΑΠΕ που εντάσσονται στις διατάξεις του άρθρου 1 του παρόντος νόμου.</w:t>
      </w:r>
    </w:p>
    <w:p w:rsidR="00395176" w:rsidRDefault="00395176" w:rsidP="00395176">
      <w:pPr>
        <w:tabs>
          <w:tab w:val="left" w:pos="1911"/>
        </w:tabs>
      </w:pPr>
      <w:r w:rsidRPr="00CB1B45">
        <w:t xml:space="preserve">2. Για τα αγροτικά Φ/Β ισχύος έως 100 </w:t>
      </w:r>
      <w:r w:rsidRPr="00CB1B45">
        <w:rPr>
          <w:lang w:val="en-US"/>
        </w:rPr>
        <w:t>kW</w:t>
      </w:r>
      <w:r w:rsidRPr="00CB1B45">
        <w:t xml:space="preserve"> αίρεται</w:t>
      </w:r>
      <w:r>
        <w:t xml:space="preserve"> </w:t>
      </w:r>
      <w:r w:rsidRPr="00CB1B45">
        <w:t>η υποχρέωση για μη μεταβίβαση του σταθμού πριν την παρέλευση πενταετίας.</w:t>
      </w:r>
    </w:p>
    <w:p w:rsidR="00395176" w:rsidRDefault="00395176" w:rsidP="00395176">
      <w:pPr>
        <w:tabs>
          <w:tab w:val="left" w:pos="1911"/>
        </w:tabs>
      </w:pPr>
      <w:r>
        <w:t xml:space="preserve">3. Το τελευταίο εδάφιο της περίπτωσης 3 της υποπαραγράφου </w:t>
      </w:r>
      <w:proofErr w:type="spellStart"/>
      <w:r>
        <w:t>Ι.1</w:t>
      </w:r>
      <w:proofErr w:type="spellEnd"/>
      <w:r>
        <w:t xml:space="preserve"> της παραγράφου Ι του πρώτου άρθρου του ν. 4152/2013 (Α’ 107) αντικαθίσταται ως εξής:</w:t>
      </w:r>
    </w:p>
    <w:p w:rsidR="00395176" w:rsidRDefault="00395176" w:rsidP="00395176">
      <w:pPr>
        <w:pStyle w:val="af"/>
      </w:pPr>
      <w:r>
        <w:t>«Η ισχύς της παρούσας περίπτωσης αρχίζει από την 1η Ιανουαρίου 2015».</w:t>
      </w:r>
    </w:p>
    <w:p w:rsidR="00395176" w:rsidRDefault="00395176" w:rsidP="00395176">
      <w:pPr>
        <w:tabs>
          <w:tab w:val="left" w:pos="1911"/>
        </w:tabs>
      </w:pPr>
      <w:r>
        <w:t xml:space="preserve">4. Το τελευταίο εδάφιο της περίπτωσης 4 της υποπαραγράφου </w:t>
      </w:r>
      <w:proofErr w:type="spellStart"/>
      <w:r>
        <w:t>Ι.1</w:t>
      </w:r>
      <w:proofErr w:type="spellEnd"/>
      <w:r>
        <w:t xml:space="preserve"> της παραγράφου Ι του πρώτου άρθρου του ν. 4152/2013 (Α’ 107) αντικαθίσταται ως εξής:</w:t>
      </w:r>
    </w:p>
    <w:p w:rsidR="00395176" w:rsidRPr="00CB1B45" w:rsidRDefault="00395176" w:rsidP="00395176">
      <w:pPr>
        <w:pStyle w:val="af"/>
      </w:pPr>
      <w:r>
        <w:t>«Η ισχύς της παρούσας περίπτωσης αρχίζει από την 1η Ιανουαρίου 2015».</w:t>
      </w:r>
    </w:p>
    <w:p w:rsidR="00395176" w:rsidRDefault="00395176" w:rsidP="00395176">
      <w:pPr>
        <w:tabs>
          <w:tab w:val="left" w:pos="1911"/>
        </w:tabs>
      </w:pPr>
      <w:r>
        <w:t xml:space="preserve">5. Το τελευταίο εδάφιο της περίπτωσης 3 της υποπαραγράφου </w:t>
      </w:r>
      <w:proofErr w:type="spellStart"/>
      <w:r>
        <w:t>Ι.2</w:t>
      </w:r>
      <w:proofErr w:type="spellEnd"/>
      <w:r>
        <w:t xml:space="preserve"> της παραγράφου Ι του πρώτου άρθρου του ν. 4152/2013 (Α’ 107) αντικαθίσταται ως εξής:</w:t>
      </w:r>
    </w:p>
    <w:p w:rsidR="00395176" w:rsidRDefault="00395176" w:rsidP="00395176">
      <w:pPr>
        <w:pStyle w:val="af"/>
      </w:pPr>
      <w:r>
        <w:t>«Ειδικά για το έτος 2014 δεν γεννάται υποχρέωση για την καταβολή του τέλους της περίπτωσης 1 για τις άδειες του προηγουμένου εδαφίου.»</w:t>
      </w:r>
    </w:p>
    <w:p w:rsidR="00395176" w:rsidRDefault="00395176" w:rsidP="00395176">
      <w:pPr>
        <w:tabs>
          <w:tab w:val="left" w:pos="1911"/>
        </w:tabs>
      </w:pPr>
      <w:r w:rsidRPr="00837AFD">
        <w:t>6. Η παράγραφος 1 του άρθρου 14</w:t>
      </w:r>
      <w:r w:rsidRPr="00974971">
        <w:t>Α</w:t>
      </w:r>
      <w:r w:rsidRPr="00837AFD">
        <w:t xml:space="preserve"> του </w:t>
      </w:r>
      <w:proofErr w:type="spellStart"/>
      <w:r w:rsidRPr="00837AFD">
        <w:t>ν.3468</w:t>
      </w:r>
      <w:proofErr w:type="spellEnd"/>
      <w:r w:rsidRPr="00837AFD">
        <w:t xml:space="preserve">/2006 (ΦΕΚ Α’ 129) αντικαθίσταται ως εξής: </w:t>
      </w:r>
    </w:p>
    <w:p w:rsidR="00395176" w:rsidRDefault="00395176" w:rsidP="00395176">
      <w:pPr>
        <w:pStyle w:val="af"/>
      </w:pPr>
      <w:r w:rsidRPr="00837AFD">
        <w:t xml:space="preserve">«Επιτρέπεται η εγκατάσταση </w:t>
      </w:r>
      <w:proofErr w:type="spellStart"/>
      <w:r w:rsidRPr="00837AFD">
        <w:t>φωτοβολταϊκών</w:t>
      </w:r>
      <w:proofErr w:type="spellEnd"/>
      <w:r w:rsidRPr="00837AFD">
        <w:t xml:space="preserve"> σταθμών και σταθμών μικρών ανεμογεννητριών από </w:t>
      </w:r>
      <w:proofErr w:type="spellStart"/>
      <w:r w:rsidRPr="00837AFD">
        <w:t>αυτοπαραγωγ</w:t>
      </w:r>
      <w:r>
        <w:t>ούς</w:t>
      </w:r>
      <w:proofErr w:type="spellEnd"/>
      <w:r>
        <w:t xml:space="preserve"> σε εγκαταστάσεις τους που συνδέονται στο Δίκτυο. Για τις περιοχές που χαρακτηρίζονται από τη </w:t>
      </w:r>
      <w:proofErr w:type="spellStart"/>
      <w:r>
        <w:t>Ρ.Α.Ε</w:t>
      </w:r>
      <w:proofErr w:type="spellEnd"/>
      <w:r>
        <w:t xml:space="preserve">. ως περιοχές με κορεσμένα δίκτυα, σύμφωνα με τη διαδικασία των δύο τελευταίων εδαφίων της περίπτωσης </w:t>
      </w:r>
      <w:proofErr w:type="spellStart"/>
      <w:r>
        <w:t>α΄</w:t>
      </w:r>
      <w:proofErr w:type="spellEnd"/>
      <w:r>
        <w:t xml:space="preserve"> της παρ. 5 του άρθρου 3 για την εφαρμογή του προηγούμενου εδαφίου, ο Διαχειριστής του Δικτύου μπορεί να θέτει περιορισμούς στην </w:t>
      </w:r>
      <w:proofErr w:type="spellStart"/>
      <w:r>
        <w:t>απορροφώμενη</w:t>
      </w:r>
      <w:proofErr w:type="spellEnd"/>
      <w:r>
        <w:t xml:space="preserve"> ισχύ για λόγους ασφάλειας της λειτουργίας του Δικτύου ή του Διασυνδεδεμένου Συστήματος. Με απόφαση του Υπουργού Περιβάλλοντος, Ενέργειας και Κλιματικής Αλλαγής, μετά από εισήγηση του Διαχειριστή και γνώμη της </w:t>
      </w:r>
      <w:proofErr w:type="spellStart"/>
      <w:r>
        <w:t>Ρ.Α.Ε</w:t>
      </w:r>
      <w:proofErr w:type="spellEnd"/>
      <w:r>
        <w:t xml:space="preserve">, καθορίζονται το τρόπος με τον οποίο θα γίνεται ο συμψηφισμός της παραγόμενης και της καταναλισκόμενης ενέργειας και ειδικότερα οι χρεώσεις που θα περιλαμβάνονται στον συμψηφισμό, το χρονικό διάστημα εντός του οποίου θα υπολογίζεται ο συμψηφισμός της παραγόμενης ενέργειας με την καταναλισκόμενη ενέργεια στις εγκαταστάσεις του </w:t>
      </w:r>
      <w:proofErr w:type="spellStart"/>
      <w:r>
        <w:t>αυτοπαραγωγού</w:t>
      </w:r>
      <w:proofErr w:type="spellEnd"/>
      <w:r>
        <w:t xml:space="preserve"> που τροφοδοτεί ο σταθμός, ο τύπος, το περιεχόμενο και η διαδικασία κατάρτισης των συμβάσεων συμψηφισμού ηλεκτρικής ενέργειας, καθώς και κάθε ειδικότερο θέμα ή άλλη αναγκαία λεπτομέρεια για την εφαρμογή των διατάξεων της παρούσας</w:t>
      </w:r>
      <w:r w:rsidRPr="00837AFD">
        <w:t xml:space="preserve">. Το πλεόνασμα ενέργειας που προκύπτει από το συμψηφισμό του προηγούμενου εδαφίου διοχετεύεται στο Δίκτυο χωρίς υποχρέωση για οποιαδήποτε αποζημίωση στον </w:t>
      </w:r>
      <w:proofErr w:type="spellStart"/>
      <w:r w:rsidRPr="00837AFD">
        <w:t>αυτοπαραγωγό</w:t>
      </w:r>
      <w:proofErr w:type="spellEnd"/>
      <w:r w:rsidRPr="00837AFD">
        <w:t>.</w:t>
      </w:r>
    </w:p>
    <w:p w:rsidR="00395176" w:rsidRDefault="00395176" w:rsidP="00395176">
      <w:pPr>
        <w:pStyle w:val="af"/>
      </w:pPr>
      <w:r w:rsidRPr="00381F09">
        <w:t xml:space="preserve">Με την ανωτέρω απόφαση καθορίζεται και η μοναδιαία τιμή με την οποία θα υπολογίζεται η αποζημίωση για το πλεόνασμα της ενέργειας η οποία θα καταβάλλεται από τους Προμηθευτές, υπέρ του Ειδικού Λογαριασμού του άρθρου 40 του </w:t>
      </w:r>
      <w:proofErr w:type="spellStart"/>
      <w:r w:rsidRPr="00381F09">
        <w:t>ν.2773</w:t>
      </w:r>
      <w:proofErr w:type="spellEnd"/>
      <w:r w:rsidRPr="00381F09">
        <w:t>/1999 (ΦΕΚ Α’ 286)</w:t>
      </w:r>
      <w:r>
        <w:t>».</w:t>
      </w:r>
    </w:p>
    <w:p w:rsidR="00395176" w:rsidRPr="00A2734D" w:rsidRDefault="00395176" w:rsidP="00395176">
      <w:pPr>
        <w:tabs>
          <w:tab w:val="left" w:pos="1911"/>
        </w:tabs>
      </w:pPr>
      <w:r>
        <w:t>7.</w:t>
      </w:r>
      <w:r w:rsidRPr="00974971">
        <w:t xml:space="preserve"> </w:t>
      </w:r>
      <w:r w:rsidRPr="00A2734D">
        <w:t>Στο τέλος του άρθρου 8 του ν. 3468/2006 (</w:t>
      </w:r>
      <w:proofErr w:type="spellStart"/>
      <w:r w:rsidRPr="00A2734D">
        <w:t>Α΄129</w:t>
      </w:r>
      <w:proofErr w:type="spellEnd"/>
      <w:r w:rsidRPr="00A2734D">
        <w:t>), προστίθεται παράγραφος 17 ως ακολούθως:</w:t>
      </w:r>
    </w:p>
    <w:p w:rsidR="00395176" w:rsidRPr="00A2734D" w:rsidRDefault="00395176" w:rsidP="00395176">
      <w:pPr>
        <w:pStyle w:val="af"/>
      </w:pPr>
      <w:r w:rsidRPr="00A2734D">
        <w:t>«17. Με κοινή απόφαση των Υπουργών Περιβάλλοντος, Ενέργειας και Κλιματικής Αλλαγής και Ανάπτυξης, Ανταγωνιστικότητας και Ναυτιλίας, τα έργα και δραστηριότητες παραγωγής ενέργειας με χρήση ανανεώσιμων πηγών ενέργειας κατατάσσονται σε κατηγορίες, ανάλογα με τους βαθμούς όχλησης, που αναφέρονται στα πολεοδομικά διατάγματα.»</w:t>
      </w:r>
    </w:p>
    <w:p w:rsidR="001B2BC9" w:rsidRPr="00BD358B" w:rsidRDefault="00395176" w:rsidP="001B2BC9">
      <w:r>
        <w:t xml:space="preserve">8. </w:t>
      </w:r>
      <w:r w:rsidR="001B2BC9" w:rsidRPr="00BD358B">
        <w:t>Το άρθρο 3 «Μεταφορά θέσης εγκατάστασης» του ν. 4203/2013</w:t>
      </w:r>
      <w:r w:rsidR="00213262">
        <w:t xml:space="preserve"> (Α΄235)</w:t>
      </w:r>
      <w:r w:rsidR="001B2BC9" w:rsidRPr="00BD358B">
        <w:t xml:space="preserve"> αντικαθίσταται ως εξής:</w:t>
      </w:r>
    </w:p>
    <w:p w:rsidR="001B2BC9" w:rsidRPr="00BD358B" w:rsidRDefault="001B2BC9" w:rsidP="001B2BC9">
      <w:pPr>
        <w:pStyle w:val="af"/>
      </w:pPr>
      <w:r w:rsidRPr="00BD358B">
        <w:t xml:space="preserve">«1. Σε περιπτώσεις όπου, μετά τη χορήγηση της άδειας παραγωγής ή της Προσφοράς Σύνδεσης για σταθμό παραγωγής ηλεκτρικής ενέργειας από Α.Π.Ε. ή ΣΗΘΥΑ των άρθρων 3 και 4 του ν. 3468/2006 αντίστοιχα, μεταβάλλεται το νομικό ή κανονιστικό πλαίσιο χωροθέτησης με αποτέλεσμα να μην είναι δυνατή η εγκατάσταση του σταθμού στη θέση που είχε αρχικά προβλεφθεί, είναι δυνατή η άπαξ μεταβολή του τόπου εγκατάστασης, μετά από αίτημα του ενδιαφερομένου για τροποποίηση της άδειας παραγωγής ή της Προσφοράς Σύνδεσης αντίστοιχα. </w:t>
      </w:r>
    </w:p>
    <w:p w:rsidR="001B2BC9" w:rsidRPr="00BD358B" w:rsidRDefault="001B2BC9" w:rsidP="001B2BC9">
      <w:pPr>
        <w:pStyle w:val="af"/>
      </w:pPr>
      <w:r w:rsidRPr="00BD358B">
        <w:t xml:space="preserve">2. H νέα θέση εγκατάστασης πρέπει να είναι εντός των ορίων της οικείας Περιφέρειας, στην οποία βρισκόταν η αρχική θέση εγκατάστασης και στην </w:t>
      </w:r>
      <w:r w:rsidRPr="00BD358B">
        <w:lastRenderedPageBreak/>
        <w:t xml:space="preserve">οποία δεν είναι δυνατή πλέον η εγκατάσταση του σταθμού για τους λόγους που αναφέρονται στην ανωτέρω παράγραφο. </w:t>
      </w:r>
    </w:p>
    <w:p w:rsidR="001B2BC9" w:rsidRPr="00BD358B" w:rsidRDefault="001B2BC9" w:rsidP="001B2BC9">
      <w:pPr>
        <w:pStyle w:val="af"/>
      </w:pPr>
      <w:r w:rsidRPr="00BD358B">
        <w:t>3. Η μεταφορά της θέσης εγκατάστασης πραγματοποιείται κατόπιν αιτήσεως από τον ενδιαφερόμενο προς την οικεία αποκεντρωμένη Διοίκηση στα όρια της οποίας εγκαθίσταται ο σταθμός και έκδοσης απόφασης για την μεταφορά της θέσης εγκατάστασης. Η αίτηση πρέπει να συνοδεύεται από νόμιμο αποδεικτικό στοιχείο αποκλειστικής χρήσης του γηπέδου και κάθε άλλου ακινήτου που συνδέεται με την κατασκευή και την λειτουργία του σταθμού. Η απόφαση του προηγούμενου εδαφίου κοινοποιείται στον αρμόδιο Διαχειριστή.</w:t>
      </w:r>
    </w:p>
    <w:p w:rsidR="001B2BC9" w:rsidRPr="00BD358B" w:rsidRDefault="001B2BC9" w:rsidP="001B2BC9">
      <w:pPr>
        <w:pStyle w:val="af"/>
      </w:pPr>
      <w:r w:rsidRPr="00BD358B">
        <w:t>4. Στις περιπτώσεις του παρόντος άρθρου συνεχίζεται η διαδικασία υλοποίησης της επένδυσης κατόπιν της κατά προτεραιότητα έκδοσης ή τροποποίησης των σχετικών αδειών και εγκρίσεων, καθώς και της Προσφοράς Όρων Σύνδεσης από τον αρμόδιο Διαχειριστή ανεξαρτήτως τεχνολογίας Α.Π.Ε. ή ΣΗΘΥΑ και ανάλογης κατά προτεραιότητα σύναψης ή τροποποίησης των Συμβάσεων Σύνδεσης και Πώλησης. Η έκδοση ή τροποποίηση των αδειών, εγκρίσεων και Προσφορών καθώς και η σύναψη ή τροποποίηση των Συμβάσεων του προηγούμενου εδαφίου γίνεται εντός αποκλειστικής προθεσμίας τριάντα (30) ημερών από την ημερομηνία υποβολής του σχετικού αιτήματος.</w:t>
      </w:r>
    </w:p>
    <w:p w:rsidR="001B2BC9" w:rsidRPr="00BD358B" w:rsidRDefault="001B2BC9" w:rsidP="001B2BC9">
      <w:pPr>
        <w:pStyle w:val="af"/>
      </w:pPr>
      <w:r w:rsidRPr="00BD358B">
        <w:t xml:space="preserve">5. Η σύμβαση πώλησης ηλεκτρικής ενέργειας για τους σταθμούς παραγωγής ηλεκτρικής ενέργειας του παρόντος άρθρου συνάπτεται για είκοσι </w:t>
      </w:r>
      <w:r w:rsidR="00C71458">
        <w:t xml:space="preserve">(20) </w:t>
      </w:r>
      <w:r w:rsidRPr="00BD358B">
        <w:t>έτη, συνομολογείται με τιμή αναφοράς που αναγράφεται στον πίνακα του άρθρου 27Α του ν. 3734/2009 και αντιστοιχεί στην τιμή που ισχύει κατά την ημερομηνία έναρξης της δοκιμαστικής λειτουργίας ή, αν δεν προβλέπεται περίοδος δοκιμαστικής λειτουργίας, κατά την ημερομηνία ενεργοποίησης της σύνδεσης του σταθμού, προσαυξημένη κατά 10%.</w:t>
      </w:r>
    </w:p>
    <w:p w:rsidR="001B2BC9" w:rsidRPr="00BD358B" w:rsidRDefault="001B2BC9" w:rsidP="001B2BC9">
      <w:pPr>
        <w:pStyle w:val="af"/>
      </w:pPr>
      <w:r w:rsidRPr="00BD358B">
        <w:t>6. Στο χρονικό διάστημα των τριάντα (30) μηνών του άρθρου 4 του ν. 3468/2006 δεν υπολογίζεται το χρονικό διάστημα που μεσολαβεί από τη μεταβολή του νομικού ή κανονιστικού πλαισίου χωροθέτησης της παραγράφου 1 μέχρι την έκδοση της απόφασης για την μεταφορά της θέσης εγκατάστασης της παραγράφου 3.</w:t>
      </w:r>
      <w:r>
        <w:t>»</w:t>
      </w:r>
    </w:p>
    <w:p w:rsidR="00464D3B" w:rsidRPr="0004754A" w:rsidRDefault="00464D3B" w:rsidP="00464D3B">
      <w:pPr>
        <w:rPr>
          <w:rFonts w:ascii="Tahoma" w:hAnsi="Tahoma" w:cs="Tahoma"/>
        </w:rPr>
      </w:pPr>
    </w:p>
    <w:p w:rsidR="00464D3B" w:rsidRPr="007B5F38" w:rsidRDefault="00464D3B" w:rsidP="00464D3B">
      <w:pPr>
        <w:pStyle w:val="a0"/>
      </w:pPr>
      <w:r w:rsidRPr="007B5F38">
        <w:t xml:space="preserve">ΚΕΦΑΛΑΙΟ </w:t>
      </w:r>
      <w:r>
        <w:t>Β</w:t>
      </w:r>
    </w:p>
    <w:p w:rsidR="00464D3B" w:rsidRPr="00464D3B" w:rsidRDefault="00464D3B" w:rsidP="00464D3B">
      <w:pPr>
        <w:pStyle w:val="a0"/>
      </w:pPr>
      <w:r w:rsidRPr="00464D3B">
        <w:t>ΛΟΙΠΕΣ ΔΙΑ</w:t>
      </w:r>
      <w:r w:rsidRPr="00464D3B">
        <w:rPr>
          <w:rStyle w:val="Char"/>
          <w:b/>
          <w:bCs/>
        </w:rPr>
        <w:t>Τ</w:t>
      </w:r>
      <w:r w:rsidRPr="00464D3B">
        <w:t>ΑΞΕΙΣ</w:t>
      </w:r>
    </w:p>
    <w:p w:rsidR="00464D3B" w:rsidRPr="00AC1656" w:rsidRDefault="00464D3B" w:rsidP="00464D3B">
      <w:pPr>
        <w:pStyle w:val="1"/>
      </w:pPr>
      <w:r w:rsidRPr="003D6CFE">
        <w:t xml:space="preserve">Άρθρο </w:t>
      </w:r>
      <w:r w:rsidR="00FC1786">
        <w:t>8</w:t>
      </w:r>
    </w:p>
    <w:p w:rsidR="00464D3B" w:rsidRPr="00AC1656" w:rsidRDefault="00464D3B" w:rsidP="00464D3B">
      <w:pPr>
        <w:pStyle w:val="1"/>
      </w:pPr>
      <w:r>
        <w:t>Ρυθμίσεις θεμάτων ΑΣΦΑ</w:t>
      </w:r>
    </w:p>
    <w:p w:rsidR="00464D3B" w:rsidRPr="00B565CF" w:rsidRDefault="00464D3B" w:rsidP="00464D3B">
      <w:r w:rsidRPr="00B565CF">
        <w:t>1.</w:t>
      </w:r>
      <w:r>
        <w:t xml:space="preserve"> </w:t>
      </w:r>
      <w:r w:rsidRPr="00B565CF">
        <w:t>Με Απόφαση του Υπουργού Περιβάλλοντος, Ενέργειας και Κλιματικής Αλλαγής, η οποία δημοσιεύεται στην Εφημερίδα της Κυβερνήσεως, ορίζονται η διαδρομή και εγκατάσταση των αγωγών φυσικού αερίου για τα έργα των Ανεξάρτητων Συστημάτων Φυσικού Αερίου (ΑΣΦΑ).</w:t>
      </w:r>
    </w:p>
    <w:p w:rsidR="00464D3B" w:rsidRPr="00B565CF" w:rsidRDefault="00464D3B" w:rsidP="00464D3B">
      <w:r w:rsidRPr="00B565CF">
        <w:lastRenderedPageBreak/>
        <w:t>2.</w:t>
      </w:r>
      <w:r>
        <w:t xml:space="preserve"> </w:t>
      </w:r>
      <w:r w:rsidRPr="00B565CF">
        <w:t xml:space="preserve">Οι διατάξεις των άρθρων 165 </w:t>
      </w:r>
      <w:r>
        <w:t>έως</w:t>
      </w:r>
      <w:r w:rsidRPr="00B565CF">
        <w:t xml:space="preserve"> 172, 173 παρ. 1, 174 και 175 του ν.</w:t>
      </w:r>
      <w:r>
        <w:t xml:space="preserve"> </w:t>
      </w:r>
      <w:r w:rsidRPr="00B565CF">
        <w:t>4001/2011 (Α’ 179) εφαρμόζονται και για τα έργα των αγωγών της προηγούμενης παραγράφου.</w:t>
      </w:r>
    </w:p>
    <w:p w:rsidR="00464D3B" w:rsidRPr="00B565CF" w:rsidRDefault="00464D3B" w:rsidP="00464D3B">
      <w:r w:rsidRPr="00B565CF">
        <w:t>3.</w:t>
      </w:r>
      <w:r>
        <w:t xml:space="preserve"> </w:t>
      </w:r>
      <w:r w:rsidRPr="00B565CF">
        <w:t>Όπου στις διατάξεις της παραγράφου 2 αναφέρεται η εταιρεία “TRANS BALKAN PIPELINE BV”, νοείται η εταιρεία η οποία είναι κάτοχος άδειας ΑΣΦΑ.</w:t>
      </w:r>
      <w:r>
        <w:t xml:space="preserve"> </w:t>
      </w:r>
      <w:r w:rsidRPr="00B565CF">
        <w:t xml:space="preserve">Όπου στις διατάξεις της παραγράφου 2 αναφέρεται ο </w:t>
      </w:r>
      <w:r>
        <w:t>«</w:t>
      </w:r>
      <w:r w:rsidRPr="00B565CF">
        <w:t>Γενικός Γραμματέας της Αποκεντρωμένης Διοίκησης Μακεδονίας-Θράκης</w:t>
      </w:r>
      <w:r>
        <w:t>»</w:t>
      </w:r>
      <w:r w:rsidRPr="00B565CF">
        <w:t>, εννοείται ο Γενικός Γραμματέας της αντίστοιχης Αποκεντρωμένης Διοίκησης εντός των ορίων της οποίας διέρχονται οι αγωγοί των έργων της παραγράφου 1 του παρόντος άρθρου.</w:t>
      </w:r>
    </w:p>
    <w:p w:rsidR="00464D3B" w:rsidRDefault="00464D3B" w:rsidP="00464D3B">
      <w:r w:rsidRPr="00B565CF">
        <w:t xml:space="preserve">4. Με Απόφαση του Υπουργού Περιβάλλοντος, Ενέργειας και Κλιματικής Αλλαγής, </w:t>
      </w:r>
      <w:r>
        <w:t>η οποία</w:t>
      </w:r>
      <w:r w:rsidRPr="00B565CF">
        <w:t xml:space="preserve"> δημοσιεύ</w:t>
      </w:r>
      <w:r>
        <w:t>ε</w:t>
      </w:r>
      <w:r w:rsidRPr="00B565CF">
        <w:t>ται στην Εφημερίδα της Κυβερνήσεως, χορηγούνται οι άδειες εγκατάστασης και λειτουργίας των έργων της παραγράφου 1 του παρόντος άρθρου</w:t>
      </w:r>
      <w:r>
        <w:t>.</w:t>
      </w:r>
    </w:p>
    <w:p w:rsidR="00464D3B" w:rsidRPr="00AC1656" w:rsidRDefault="00C30B27" w:rsidP="00464D3B">
      <w:r>
        <w:t>5</w:t>
      </w:r>
      <w:r w:rsidR="00464D3B">
        <w:t xml:space="preserve">. </w:t>
      </w:r>
      <w:r w:rsidR="00464D3B" w:rsidRPr="00AC1656">
        <w:t xml:space="preserve">Η παράγραφος 5 του άρθρου 166 </w:t>
      </w:r>
      <w:r w:rsidR="00464D3B">
        <w:t xml:space="preserve">του ν. 4001/2011 </w:t>
      </w:r>
      <w:r w:rsidR="00464D3B" w:rsidRPr="00AC1656">
        <w:t>αντικαθίσταται ως εξής:</w:t>
      </w:r>
    </w:p>
    <w:p w:rsidR="00464D3B" w:rsidRPr="00AC1656" w:rsidRDefault="00464D3B" w:rsidP="00464D3B">
      <w:pPr>
        <w:pStyle w:val="af"/>
      </w:pPr>
      <w:r w:rsidRPr="00AC1656">
        <w:t>«5. Η απόφαση του Γενικού Γραμματέα της Αποκεντρωμένης Διοίκησης Μακεδονίας - Θράκης της παραγράφου 4 για τον καθορισμό της αξίας των εκτάσεων εκδίδεται μέσα σε έξι μήνες από τη δημοσίευση στην Εφημερίδα της Κυβερνήσεως της απόφασης του Υπουργού Περιβάλλοντος, Ενέργειας και Κλιματικής Αλλαγής για τη διαδρομή και εγκατάσταση του αγωγού ή για την προσωρινή κατάληψη και χρήση των ανωτέρω ζωνών.»</w:t>
      </w:r>
    </w:p>
    <w:p w:rsidR="00464D3B" w:rsidRPr="00AC1656" w:rsidRDefault="00C30B27" w:rsidP="00464D3B">
      <w:r>
        <w:t>6</w:t>
      </w:r>
      <w:r w:rsidR="00464D3B">
        <w:t xml:space="preserve">. </w:t>
      </w:r>
      <w:r w:rsidR="00464D3B" w:rsidRPr="00AC1656">
        <w:t xml:space="preserve">Η παράγραφος 1 του άρθρου 168 </w:t>
      </w:r>
      <w:r w:rsidR="00464D3B">
        <w:t xml:space="preserve">του ν. 4001/2011 </w:t>
      </w:r>
      <w:r w:rsidR="00464D3B" w:rsidRPr="00AC1656">
        <w:t>αντικαθίσταται ως εξής:</w:t>
      </w:r>
    </w:p>
    <w:p w:rsidR="00464D3B" w:rsidRPr="00AC1656" w:rsidRDefault="00464D3B" w:rsidP="00464D3B">
      <w:pPr>
        <w:pStyle w:val="af"/>
      </w:pPr>
      <w:r w:rsidRPr="00AC1656">
        <w:t>«1. Αν παραβλάπτεται η συνήθης εκμετάλλευση του ακινήτου ή προκαλούνται ζημιές στα τυχόν επικείμενα κτίσματα, δένδρα, φυτά και καρπούς και κάθε άλλου είδους εγκαταστάσεις επ` αυτού, όπως και για τις απαγορεύσεις και δεσμεύσεις των ακινήτων που προβλέπονται στις παραγράφους 1, 2 και 3 του άρθρου 166 και στην παράγραφο 1 του άρθρου 167, καταβάλλεται στον δικαιούχο, κατά το μέτρο της βλάβης που αυτός υφίσταται, χρηματική αποζημίωση, η οποία συνίσταται στην πλήρη αποκατάσταση οποιασδήποτε ζημίας ή φθοράς. Για την αναγνώριση των δικαιούχων εφαρμόζονται οι διατάξεις των άρθρων 26 και 27 του ν. 2882/2001 (Α` 17), όπως ισχύει. Η χρηματική αποζημίωση ορίζεται με απόφαση του Γενικού Γραμματέα της Αποκεντρωμένης Διοίκησης Μακεδονίας - Θράκης το βραδύτερο μέσα σε έξι μήνες από τη δημοσίευση στην Εφημερίδα της Κυβερνήσεως της απόφασης του Υπουργού Περιβάλλοντος, Ενέργειας και  Κλιματικής Αλλαγής για τη διαδρομή και εγκατάσταση του αγωγού ή για την προσωρινή κατάληψη και χρησιμοποίηση για την εγκατάσταση του αγωγού και άλλης εδαφικής ζώνης.»</w:t>
      </w:r>
    </w:p>
    <w:p w:rsidR="00464D3B" w:rsidRPr="00AC1656" w:rsidRDefault="00C30B27" w:rsidP="00464D3B">
      <w:r>
        <w:t>7</w:t>
      </w:r>
      <w:r w:rsidR="00464D3B">
        <w:t xml:space="preserve">. </w:t>
      </w:r>
      <w:r w:rsidR="00464D3B" w:rsidRPr="00AC1656">
        <w:t xml:space="preserve">Στο άρθρο 171 </w:t>
      </w:r>
      <w:r w:rsidR="00464D3B">
        <w:t xml:space="preserve">του ν. 4001/2011 </w:t>
      </w:r>
      <w:r w:rsidR="00464D3B" w:rsidRPr="00AC1656">
        <w:t>προστίθεται νέα παράγραφος 4 ως εξής:</w:t>
      </w:r>
    </w:p>
    <w:p w:rsidR="00464D3B" w:rsidRPr="00AC1656" w:rsidRDefault="00464D3B" w:rsidP="00464D3B">
      <w:pPr>
        <w:pStyle w:val="af"/>
      </w:pPr>
      <w:r w:rsidRPr="00AC1656">
        <w:t>«4. Στην προβλεπόμενη στην παράγραφο 1 αναγκαστική απαλλοτρίωση ακινήτων εφαρμόζονται αναλόγως οι διατάξεις της παραγράφου 5 του άρθρου 9 και της παραγράφου 11 του άρθρου 19 του ν. 2882/2001.»</w:t>
      </w:r>
    </w:p>
    <w:p w:rsidR="00464D3B" w:rsidRPr="00AC1656" w:rsidRDefault="00C30B27" w:rsidP="00464D3B">
      <w:r>
        <w:t>8</w:t>
      </w:r>
      <w:r w:rsidR="00464D3B">
        <w:t xml:space="preserve">. </w:t>
      </w:r>
      <w:r w:rsidR="00464D3B" w:rsidRPr="00AC1656">
        <w:t xml:space="preserve">Στην παράγραφο 6 του άρθρου 29 του ν. 3734/2009 (Α’ 8) προστίθενται νέα εδάφια ως εξής: </w:t>
      </w:r>
    </w:p>
    <w:p w:rsidR="00464D3B" w:rsidRPr="00AC1656" w:rsidRDefault="00464D3B" w:rsidP="00464D3B">
      <w:pPr>
        <w:pStyle w:val="af"/>
      </w:pPr>
      <w:r w:rsidRPr="00AC1656">
        <w:t xml:space="preserve">«Σε περιοχές εκτός εγκεκριμένου σχεδίου πόλεως, απαγορεύεται κάθε είδους δόμηση και χορήγηση οικοδομικών αδειών εντός ζώνης πλάτους διακοσίων (200) μέτρων εκατέρωθεν του άξονα εγκατεστημένου αγωγού φυσικού αερίου υψηλής πίεσης, εφόσον η εν λόγω δόμηση ή χορήγηση οικοδομικής άδειας θα είχε ως αποτέλεσμα την αλλαγή της ζώνης κατηγορίας κατασκευής και τοποθέτησης του αγωγού, λόγω μεταβολής του περιβάλλοντος του αγωγού, σύμφωνα με τα οριζόμενα στην υπ' αριθμ. Δ3/Α/οικ.4303/22-02-2012 απόφαση του Υφυπουργού Περιβάλλοντος, Ενέργειας και Κλιματικής Αλλαγής (Β’ 603). </w:t>
      </w:r>
    </w:p>
    <w:p w:rsidR="00464D3B" w:rsidRPr="00AC1656" w:rsidRDefault="00464D3B" w:rsidP="00464D3B">
      <w:pPr>
        <w:pStyle w:val="af"/>
      </w:pPr>
      <w:r w:rsidRPr="00AC1656">
        <w:t>Μετά την έκδοση της απόφασης του Υπουργού Περιβάλλοντος, Ενέργειας και  Κλιματικής Αλλαγής για τη διαδρομή και εγκατάσταση του αγωγού της παραγράφου 1 του άρθρου 165 του ν. 4001/2011 (Α’ 179) ή για την προσωρινή κατάληψη και χρησιμοποίηση για την εγκατάσταση του αγωγού και άλλης εδαφικής ζώνης της παραγράφου 3 του άρθρου 166 του ν. 4001/2011, ο διαχειριστής συστήματος μεταφοράς φυσικού αερίου δεν θα υποχρεούνται να μεταβάλει τις προδιαγραφές ασφαλείας ή τον εγκεκριμένο μέγιστο συντελεστή σχεδιασμού του αγωγού ή να εφαρμόζει άλλα μέτρα προστασίας, αν μεταβληθεί το περιβάλλον του αγωγού, λόγω ανοικοδόμησης κατά παράβαση της απαγόρευσης του προηγούμενου εδαφίου.</w:t>
      </w:r>
    </w:p>
    <w:p w:rsidR="00464D3B" w:rsidRPr="003D6CFE" w:rsidRDefault="00464D3B" w:rsidP="001B2BC9">
      <w:pPr>
        <w:pStyle w:val="1"/>
      </w:pPr>
      <w:r w:rsidRPr="003D6CFE">
        <w:t xml:space="preserve">Άρθρο </w:t>
      </w:r>
      <w:r w:rsidR="003F316E">
        <w:t>9</w:t>
      </w:r>
      <w:r w:rsidRPr="003D6CFE">
        <w:t xml:space="preserve"> </w:t>
      </w:r>
    </w:p>
    <w:p w:rsidR="00464D3B" w:rsidRPr="003D6CFE" w:rsidRDefault="00464D3B" w:rsidP="001B2BC9">
      <w:pPr>
        <w:pStyle w:val="1"/>
      </w:pPr>
      <w:r w:rsidRPr="003D6CFE">
        <w:t>Ρυθμίσεις θεμάτων προσωπικού ΔΕΗ Α.Ε. και θυγατρικών της</w:t>
      </w:r>
    </w:p>
    <w:p w:rsidR="00464D3B" w:rsidRPr="00AC1656" w:rsidRDefault="003D6CFE" w:rsidP="001B2BC9">
      <w:r>
        <w:t xml:space="preserve">1. </w:t>
      </w:r>
      <w:r w:rsidR="00464D3B" w:rsidRPr="00AC1656">
        <w:t>Μετά το τρίτο εδάφιο της παραγρ. 1 του άρθρου 11 του ν. 3833/2010 (Α΄ 40), όπως ισχύει, προστίθεται νέο εδάφιο ως εξής:</w:t>
      </w:r>
    </w:p>
    <w:p w:rsidR="00464D3B" w:rsidRDefault="00464D3B" w:rsidP="001B2BC9">
      <w:pPr>
        <w:pStyle w:val="af"/>
      </w:pPr>
      <w:r w:rsidRPr="00AC1656">
        <w:t>«Ειδικά για τη ΔΕΗ Α.Ε και τις θυγατρικές της, ο λόγος 1 προς 5 (μία πρόσληψη ανά πέντε αποχωρήσεις) για τα έτη 2011 έως και 2016,  υπολογίζεται κατά Εταιρεία ξεχωριστά και όχι στο σύνολο των φορέων της παρ. 1 του άρθρου 1 του ν. 3812/2009. Ο ανωτέρω περιορισμός δεν ισχύει για τις προσλήψεις από Προκηρύξεις της ΔΕΗ Α.Ε και των θυγατρικών της που εκδόθηκαν πριν τη θέση σε ισχύ του Ν. 3833/2010».</w:t>
      </w:r>
    </w:p>
    <w:p w:rsidR="003D6CFE" w:rsidRDefault="003D6CFE" w:rsidP="003D6CFE">
      <w:r>
        <w:t xml:space="preserve">2. </w:t>
      </w:r>
      <w:r w:rsidR="003F316E">
        <w:t>Το</w:t>
      </w:r>
      <w:r w:rsidR="001B2BC9" w:rsidRPr="001B2BC9">
        <w:t xml:space="preserve"> πρώτο εδάφιο του άρθρου 15 του ν. 4237/2014 </w:t>
      </w:r>
      <w:r w:rsidR="009C1518">
        <w:t>(</w:t>
      </w:r>
      <w:proofErr w:type="spellStart"/>
      <w:r w:rsidR="009C1518">
        <w:t>Α΄</w:t>
      </w:r>
      <w:proofErr w:type="spellEnd"/>
      <w:r w:rsidR="009C1518">
        <w:t xml:space="preserve"> 36)</w:t>
      </w:r>
      <w:r w:rsidR="00B41324">
        <w:t xml:space="preserve"> </w:t>
      </w:r>
      <w:r w:rsidR="003F316E">
        <w:t xml:space="preserve">αντικαθίσταται </w:t>
      </w:r>
      <w:r w:rsidR="001B2BC9" w:rsidRPr="001B2BC9">
        <w:t xml:space="preserve">ως ακολούθως: </w:t>
      </w:r>
    </w:p>
    <w:p w:rsidR="001B2BC9" w:rsidRPr="00AC1656" w:rsidRDefault="001B2BC9" w:rsidP="001B2BC9">
      <w:pPr>
        <w:pStyle w:val="af"/>
      </w:pPr>
      <w:r w:rsidRPr="001B2BC9">
        <w:t xml:space="preserve">«Διατηρούνται σε ισχύ οι διατάξεις των άρθρων 102, 103 και 104 του ν. 4001/2011, που αναφέρονται στα εργασιακά και ασφαλιστικά δικαιώματα του πάσης φύσεως προσωπικού της </w:t>
      </w:r>
      <w:proofErr w:type="spellStart"/>
      <w:r w:rsidRPr="001B2BC9">
        <w:t>ΑΔΜΗΕ</w:t>
      </w:r>
      <w:proofErr w:type="spellEnd"/>
      <w:r w:rsidRPr="001B2BC9">
        <w:t xml:space="preserve"> Α.Ε.»</w:t>
      </w:r>
      <w:r w:rsidR="003D6CFE">
        <w:t>.</w:t>
      </w:r>
    </w:p>
    <w:p w:rsidR="0061721C" w:rsidRPr="007B5F38" w:rsidRDefault="0061721C" w:rsidP="0061721C">
      <w:pPr>
        <w:pStyle w:val="a0"/>
      </w:pPr>
      <w:r w:rsidRPr="007B5F38">
        <w:t xml:space="preserve">ΚΕΦΑΛΑΙΟ </w:t>
      </w:r>
      <w:r>
        <w:t>Γ</w:t>
      </w:r>
    </w:p>
    <w:p w:rsidR="0061721C" w:rsidRPr="00464D3B" w:rsidRDefault="0061721C" w:rsidP="0061721C">
      <w:pPr>
        <w:pStyle w:val="a0"/>
      </w:pPr>
      <w:r>
        <w:t>ΤΕΛΙΚΕΣ</w:t>
      </w:r>
      <w:r w:rsidRPr="00464D3B">
        <w:t xml:space="preserve"> </w:t>
      </w:r>
      <w:r w:rsidR="003F316E">
        <w:t xml:space="preserve">ΚΑΙ ΜΕΤΑΒΑΤΙΚΕΣ </w:t>
      </w:r>
      <w:r w:rsidRPr="00464D3B">
        <w:t>ΔΙΑ</w:t>
      </w:r>
      <w:r w:rsidRPr="00464D3B">
        <w:rPr>
          <w:rStyle w:val="Char"/>
          <w:b/>
          <w:bCs/>
        </w:rPr>
        <w:t>Τ</w:t>
      </w:r>
      <w:r w:rsidRPr="00464D3B">
        <w:t>ΑΞΕΙΣ</w:t>
      </w:r>
    </w:p>
    <w:p w:rsidR="00395176" w:rsidRPr="00CB1B45" w:rsidRDefault="00395176" w:rsidP="00395176">
      <w:pPr>
        <w:jc w:val="center"/>
        <w:rPr>
          <w:rFonts w:cs="Arial"/>
          <w:b/>
          <w:lang w:eastAsia="el-GR"/>
        </w:rPr>
      </w:pPr>
      <w:r w:rsidRPr="00CB1B45">
        <w:rPr>
          <w:rFonts w:cs="Arial"/>
          <w:b/>
          <w:lang w:eastAsia="el-GR"/>
        </w:rPr>
        <w:t xml:space="preserve">Άρθρο </w:t>
      </w:r>
      <w:r w:rsidR="003F316E">
        <w:rPr>
          <w:rFonts w:cs="Arial"/>
          <w:b/>
          <w:lang w:eastAsia="el-GR"/>
        </w:rPr>
        <w:t>10</w:t>
      </w:r>
    </w:p>
    <w:p w:rsidR="00395176" w:rsidRPr="00CB1B45" w:rsidRDefault="00395176" w:rsidP="00395176">
      <w:pPr>
        <w:jc w:val="center"/>
        <w:rPr>
          <w:rFonts w:cs="Arial"/>
          <w:b/>
          <w:lang w:eastAsia="el-GR"/>
        </w:rPr>
      </w:pPr>
      <w:r w:rsidRPr="00CB1B45">
        <w:rPr>
          <w:rFonts w:cs="Arial"/>
          <w:b/>
          <w:lang w:eastAsia="el-GR"/>
        </w:rPr>
        <w:t>Καταργούμενες Διατάξεις</w:t>
      </w:r>
    </w:p>
    <w:p w:rsidR="00395176" w:rsidRPr="00CB1B45" w:rsidRDefault="00395176" w:rsidP="00395176">
      <w:r w:rsidRPr="00CB1B45">
        <w:t>1. Η περίπτωση γ της παραγράφου 1 και η παράγραφος 6 του άρθρου 13 του ν. 3468/2006 καταργούνται.</w:t>
      </w:r>
    </w:p>
    <w:p w:rsidR="00395176" w:rsidRPr="00CB1B45" w:rsidRDefault="00395176" w:rsidP="00395176">
      <w:r w:rsidRPr="00CB1B45">
        <w:t xml:space="preserve">2. Η περίπτωση </w:t>
      </w:r>
      <w:proofErr w:type="spellStart"/>
      <w:r w:rsidRPr="00CB1B45">
        <w:t>β΄</w:t>
      </w:r>
      <w:proofErr w:type="spellEnd"/>
      <w:r w:rsidRPr="00CB1B45">
        <w:t xml:space="preserve"> του παραγράφου 5 του άρθρου 27 Α του </w:t>
      </w:r>
      <w:proofErr w:type="spellStart"/>
      <w:r w:rsidRPr="00CB1B45">
        <w:t>ν.3734</w:t>
      </w:r>
      <w:proofErr w:type="spellEnd"/>
      <w:r w:rsidRPr="00CB1B45">
        <w:t>/2009 καταργείται.</w:t>
      </w:r>
    </w:p>
    <w:p w:rsidR="00395176" w:rsidRDefault="00395176" w:rsidP="00395176">
      <w:r w:rsidRPr="00CB1B45">
        <w:t xml:space="preserve">3. Η παράγραφος 4 του άρθρου 3 της από 4.6.2009 κοινής υπουργικής απόφασης με θέμα «Ειδικό Πρόγραμμα Ανάπτυξης </w:t>
      </w:r>
      <w:proofErr w:type="spellStart"/>
      <w:r w:rsidRPr="00CB1B45">
        <w:t>Φωτοβολταϊκών</w:t>
      </w:r>
      <w:proofErr w:type="spellEnd"/>
      <w:r w:rsidRPr="00CB1B45">
        <w:t xml:space="preserve"> Συστημάτων σε κτιριακές εγκαταστάσεις και ιδίως σε δώματα και στέγες κτιρίων» (</w:t>
      </w:r>
      <w:proofErr w:type="spellStart"/>
      <w:r w:rsidRPr="00CB1B45">
        <w:t>Β΄</w:t>
      </w:r>
      <w:proofErr w:type="spellEnd"/>
      <w:r w:rsidRPr="00CB1B45">
        <w:t xml:space="preserve"> 1079) καταργείται.</w:t>
      </w:r>
    </w:p>
    <w:p w:rsidR="00395176" w:rsidRDefault="00395176" w:rsidP="00395176">
      <w:r>
        <w:t xml:space="preserve">4. Η υποπαράγραφος 1 της υποπαραγράφου </w:t>
      </w:r>
      <w:proofErr w:type="spellStart"/>
      <w:r>
        <w:t>Ι.2</w:t>
      </w:r>
      <w:proofErr w:type="spellEnd"/>
      <w:r>
        <w:t xml:space="preserve"> της παραγράφου Ι του πρώτου άρθρου του ν. 4093/2012 (Α’ 222) και η περίπτωση 8 της υποπαραγράφου </w:t>
      </w:r>
      <w:proofErr w:type="spellStart"/>
      <w:r>
        <w:t>Ι.4</w:t>
      </w:r>
      <w:proofErr w:type="spellEnd"/>
      <w:r>
        <w:t xml:space="preserve"> της παραγράφου Ι του πρώτου άρθρου του ν. 4152/2013 (Α’ 107) καταργούνται.</w:t>
      </w:r>
    </w:p>
    <w:p w:rsidR="00395176" w:rsidRDefault="00395176" w:rsidP="00395176">
      <w:r>
        <w:t xml:space="preserve">5. </w:t>
      </w:r>
      <w:r w:rsidRPr="007659DF">
        <w:t>Στο τέταρτο εδάφιο της παραγράφου 13 του άρθρου 8, του ν. 3468/2006 (</w:t>
      </w:r>
      <w:proofErr w:type="spellStart"/>
      <w:r w:rsidRPr="007659DF">
        <w:t>Α΄129</w:t>
      </w:r>
      <w:proofErr w:type="spellEnd"/>
      <w:r w:rsidRPr="007659DF">
        <w:t xml:space="preserve">), διαγράφεται το κείμενο της </w:t>
      </w:r>
      <w:r>
        <w:t>δεύτερης</w:t>
      </w:r>
      <w:r w:rsidRPr="007659DF">
        <w:t xml:space="preserve"> παύλας: «</w:t>
      </w:r>
      <w:proofErr w:type="spellStart"/>
      <w:r w:rsidRPr="007659DF">
        <w:t>0,5MW</w:t>
      </w:r>
      <w:proofErr w:type="spellEnd"/>
      <w:r w:rsidRPr="007659DF">
        <w:t xml:space="preserve"> για σταθμούς ηλεκτροπαραγωγής με χρήση βιομάζας, βιοαερίου και </w:t>
      </w:r>
      <w:proofErr w:type="spellStart"/>
      <w:r w:rsidRPr="007659DF">
        <w:t>βιοκαυσίμων</w:t>
      </w:r>
      <w:proofErr w:type="spellEnd"/>
      <w:r w:rsidRPr="007659DF">
        <w:t>».</w:t>
      </w:r>
    </w:p>
    <w:p w:rsidR="00395176" w:rsidRDefault="00395176" w:rsidP="00395176">
      <w:r>
        <w:t>6. Οι παράγραφοι 1 έως 4 του άρθρου 55 του ν. 4223/2013 (</w:t>
      </w:r>
      <w:proofErr w:type="spellStart"/>
      <w:r>
        <w:t>Α΄</w:t>
      </w:r>
      <w:proofErr w:type="spellEnd"/>
      <w:r>
        <w:t xml:space="preserve"> 287) καταργούνται.</w:t>
      </w:r>
    </w:p>
    <w:p w:rsidR="00395176" w:rsidRDefault="00395176" w:rsidP="00395176">
      <w:r>
        <w:t xml:space="preserve">7. Η υπουργική απόφαση με αρ. </w:t>
      </w:r>
      <w:proofErr w:type="spellStart"/>
      <w:r>
        <w:t>πρωτ</w:t>
      </w:r>
      <w:proofErr w:type="spellEnd"/>
      <w:r>
        <w:t xml:space="preserve">. </w:t>
      </w:r>
      <w:proofErr w:type="spellStart"/>
      <w:r>
        <w:t>Υ.Α.Π.Ε</w:t>
      </w:r>
      <w:proofErr w:type="spellEnd"/>
      <w:r>
        <w:t>./</w:t>
      </w:r>
      <w:proofErr w:type="spellStart"/>
      <w:r>
        <w:t>Φ1</w:t>
      </w:r>
      <w:proofErr w:type="spellEnd"/>
      <w:r>
        <w:t>/2300/</w:t>
      </w:r>
      <w:proofErr w:type="spellStart"/>
      <w:r>
        <w:t>οικ.16932</w:t>
      </w:r>
      <w:proofErr w:type="spellEnd"/>
      <w:r>
        <w:t>/9.8.2012 (</w:t>
      </w:r>
      <w:proofErr w:type="spellStart"/>
      <w:r>
        <w:t>Β΄</w:t>
      </w:r>
      <w:proofErr w:type="spellEnd"/>
      <w:r>
        <w:t xml:space="preserve"> 2317) «Αναστολή διαδικασίας </w:t>
      </w:r>
      <w:proofErr w:type="spellStart"/>
      <w:r>
        <w:t>αδειοδότησης</w:t>
      </w:r>
      <w:proofErr w:type="spellEnd"/>
      <w:r>
        <w:t xml:space="preserve"> και χορήγησης προσφορών σύνδεσης για </w:t>
      </w:r>
      <w:proofErr w:type="spellStart"/>
      <w:r>
        <w:t>φωτοβολταϊκούς</w:t>
      </w:r>
      <w:proofErr w:type="spellEnd"/>
      <w:r>
        <w:t xml:space="preserve"> σταθμούς, λόγω κάλυψης των στόχων που έχουν τεθεί με την απόφαση Α.Υ./</w:t>
      </w:r>
      <w:proofErr w:type="spellStart"/>
      <w:r>
        <w:t>Φ1</w:t>
      </w:r>
      <w:proofErr w:type="spellEnd"/>
      <w:r>
        <w:t>/</w:t>
      </w:r>
      <w:proofErr w:type="spellStart"/>
      <w:r>
        <w:t>οικ.19598</w:t>
      </w:r>
      <w:proofErr w:type="spellEnd"/>
      <w:r>
        <w:t xml:space="preserve">/01.10.2010 του Υπουργού </w:t>
      </w:r>
      <w:proofErr w:type="spellStart"/>
      <w:r>
        <w:t>Π.Ε.Κ.Α</w:t>
      </w:r>
      <w:proofErr w:type="spellEnd"/>
      <w:r>
        <w:t>.» καταργείται.</w:t>
      </w:r>
    </w:p>
    <w:p w:rsidR="003F316E" w:rsidRDefault="003F316E" w:rsidP="003F316E">
      <w:r>
        <w:t xml:space="preserve">8. </w:t>
      </w:r>
      <w:r>
        <w:t>«Η προθεσμία του δευτέρου εδαφίου του άρθρου 21 του νόμου 4123/2014 (</w:t>
      </w:r>
      <w:r>
        <w:t>Α’</w:t>
      </w:r>
      <w:r>
        <w:t xml:space="preserve"> 43) παρατείνεται μέχρι την 31η Μαρτίου 2015 για τη μη επιβολή κυρώσεων στους υπόχρεους τήρησης αποθεμάτων έκτακτης ανάγκης του άρθρου 19 του ιδίου νόμου στα παρακάτω προϊόντα των κατηγοριών της παραγράφου 1 του άρθρου 3 του ν. 3054/2002 (</w:t>
      </w:r>
      <w:r>
        <w:t xml:space="preserve">Α’ </w:t>
      </w:r>
      <w:r>
        <w:t>230):</w:t>
      </w:r>
    </w:p>
    <w:p w:rsidR="003F316E" w:rsidRDefault="003F316E" w:rsidP="003F316E">
      <w:pPr>
        <w:spacing w:before="0"/>
      </w:pPr>
      <w:r>
        <w:t>α. Άσφαλτος  (κατηγορία IV)</w:t>
      </w:r>
    </w:p>
    <w:p w:rsidR="003F316E" w:rsidRDefault="003F316E" w:rsidP="003F316E">
      <w:pPr>
        <w:spacing w:before="0"/>
      </w:pPr>
      <w:r>
        <w:t xml:space="preserve">β. υγραέρια – </w:t>
      </w:r>
      <w:proofErr w:type="spellStart"/>
      <w:r>
        <w:t>LPG</w:t>
      </w:r>
      <w:proofErr w:type="spellEnd"/>
      <w:r>
        <w:t xml:space="preserve"> (κατηγορία V)</w:t>
      </w:r>
    </w:p>
    <w:p w:rsidR="003F316E" w:rsidRDefault="003F316E" w:rsidP="003F316E">
      <w:pPr>
        <w:spacing w:before="0"/>
      </w:pPr>
      <w:r>
        <w:t>γ. Λιπαντικά (κατηγορία VI)»</w:t>
      </w:r>
    </w:p>
    <w:p w:rsidR="003F316E" w:rsidRPr="00AC1656" w:rsidRDefault="003F316E" w:rsidP="003F316E">
      <w:r>
        <w:t xml:space="preserve">9. </w:t>
      </w:r>
      <w:r w:rsidRPr="00AC1656">
        <w:t>Στο άρθρο 82 του ν. 4001/2011 προστίθεται παράγραφος 4 ως εξής:</w:t>
      </w:r>
    </w:p>
    <w:p w:rsidR="003F316E" w:rsidRPr="00AC1656" w:rsidRDefault="003F316E" w:rsidP="003F316E">
      <w:pPr>
        <w:pStyle w:val="af"/>
      </w:pPr>
      <w:r w:rsidRPr="00AC1656">
        <w:t xml:space="preserve">«4. Πελάτες που είχαν καταταγεί στην κατηγορία Μεγάλων Πελατών, κατά την έννοια της περίπτωσης </w:t>
      </w:r>
      <w:proofErr w:type="spellStart"/>
      <w:r w:rsidRPr="00AC1656">
        <w:t>ιζ΄</w:t>
      </w:r>
      <w:proofErr w:type="spellEnd"/>
      <w:r w:rsidRPr="00AC1656">
        <w:t xml:space="preserve"> της παραγράφου 2 του άρθρου 2, έως την 31 Δεκεμβρίου 2012, παραμένουν στην κατηγορία αυτή έως και την 31η Δεκεμβρίου 2015.».</w:t>
      </w:r>
    </w:p>
    <w:p w:rsidR="003F316E" w:rsidRPr="00B01077" w:rsidRDefault="003F316E" w:rsidP="003F316E">
      <w:pPr>
        <w:spacing w:before="0"/>
      </w:pPr>
    </w:p>
    <w:p w:rsidR="00A55B63" w:rsidRPr="007B5F38" w:rsidRDefault="00A55B63" w:rsidP="00107E8E">
      <w:pPr>
        <w:pStyle w:val="1"/>
      </w:pPr>
      <w:r w:rsidRPr="007B5F38">
        <w:t xml:space="preserve">Άρθρο </w:t>
      </w:r>
      <w:r w:rsidR="003F316E">
        <w:t>11</w:t>
      </w:r>
    </w:p>
    <w:p w:rsidR="00A55B63" w:rsidRPr="007B5F38" w:rsidRDefault="00A55B63" w:rsidP="00107E8E">
      <w:pPr>
        <w:pStyle w:val="1"/>
      </w:pPr>
      <w:r w:rsidRPr="007B5F38">
        <w:t>Έναρξη ισχύος</w:t>
      </w:r>
    </w:p>
    <w:p w:rsidR="00A55B63" w:rsidRPr="007B5F38" w:rsidRDefault="00A55B63" w:rsidP="00B10CC8">
      <w:r w:rsidRPr="007B5F38">
        <w:t>Η ισχύς του νόμου αυτού αρχίζει από τη δημοσίευσή του στην Εφημερίδα της Κυβερνήσεως, εκτός εάν ορίζεται διαφορετικά στις επιμέρους διατάξεις του.</w:t>
      </w:r>
    </w:p>
    <w:p w:rsidR="00A55B63" w:rsidRPr="007B5F38" w:rsidRDefault="00A55B63" w:rsidP="00FD52D6">
      <w:pPr>
        <w:spacing w:before="0" w:line="360" w:lineRule="auto"/>
        <w:jc w:val="center"/>
        <w:rPr>
          <w:rFonts w:ascii="Verdana" w:eastAsia="SimSun" w:hAnsi="Verdana" w:cs="Times New Roman"/>
          <w:sz w:val="20"/>
          <w:szCs w:val="20"/>
          <w:lang w:eastAsia="zh-CN"/>
        </w:rPr>
      </w:pPr>
    </w:p>
    <w:p w:rsidR="00A55B63" w:rsidRPr="007B5F38" w:rsidRDefault="00A55B63" w:rsidP="00004885">
      <w:pPr>
        <w:jc w:val="center"/>
      </w:pPr>
      <w:r w:rsidRPr="007B5F38">
        <w:t xml:space="preserve">Αθήνα,       </w:t>
      </w:r>
      <w:r w:rsidR="001B2BC9">
        <w:t>Μαρτίου 2014</w:t>
      </w:r>
    </w:p>
    <w:p w:rsidR="00A55B63" w:rsidRPr="007B5F38" w:rsidRDefault="00A55B63" w:rsidP="00004885">
      <w:pPr>
        <w:spacing w:before="0"/>
        <w:jc w:val="center"/>
        <w:rPr>
          <w:rFonts w:eastAsia="SimSun" w:cs="Arial"/>
          <w:b/>
          <w:lang w:eastAsia="zh-CN"/>
        </w:rPr>
      </w:pPr>
    </w:p>
    <w:p w:rsidR="00A55B63" w:rsidRPr="007B5F38" w:rsidRDefault="00A55B63" w:rsidP="005C6788">
      <w:pPr>
        <w:spacing w:before="0"/>
        <w:jc w:val="center"/>
        <w:rPr>
          <w:rFonts w:eastAsia="SimSun" w:cs="Arial"/>
          <w:b/>
          <w:lang w:eastAsia="zh-CN"/>
        </w:rPr>
      </w:pPr>
    </w:p>
    <w:tbl>
      <w:tblPr>
        <w:tblW w:w="0" w:type="auto"/>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0A0" w:firstRow="1" w:lastRow="0" w:firstColumn="1" w:lastColumn="0" w:noHBand="0" w:noVBand="0"/>
      </w:tblPr>
      <w:tblGrid>
        <w:gridCol w:w="4089"/>
        <w:gridCol w:w="9"/>
        <w:gridCol w:w="4099"/>
      </w:tblGrid>
      <w:tr w:rsidR="00A55B63" w:rsidRPr="007B5F38" w:rsidTr="00174A91">
        <w:tc>
          <w:tcPr>
            <w:tcW w:w="8197" w:type="dxa"/>
            <w:gridSpan w:val="3"/>
          </w:tcPr>
          <w:p w:rsidR="00A55B63" w:rsidRPr="007B5F38" w:rsidRDefault="00A55B63" w:rsidP="00174A91">
            <w:pPr>
              <w:spacing w:before="0"/>
              <w:jc w:val="center"/>
              <w:rPr>
                <w:rFonts w:eastAsia="SimSun" w:cs="Arial"/>
                <w:b/>
                <w:lang w:eastAsia="zh-CN"/>
              </w:rPr>
            </w:pPr>
            <w:r w:rsidRPr="007B5F38">
              <w:rPr>
                <w:rFonts w:eastAsia="SimSun" w:cs="Arial"/>
                <w:b/>
                <w:lang w:eastAsia="zh-CN"/>
              </w:rPr>
              <w:t>Οι Υπουργοί</w:t>
            </w:r>
          </w:p>
        </w:tc>
      </w:tr>
      <w:tr w:rsidR="00A55B63" w:rsidRPr="007B5F38" w:rsidTr="00964A2B">
        <w:trPr>
          <w:trHeight w:hRule="exact" w:val="2098"/>
        </w:trPr>
        <w:tc>
          <w:tcPr>
            <w:tcW w:w="4089" w:type="dxa"/>
            <w:shd w:val="clear" w:color="auto" w:fill="auto"/>
          </w:tcPr>
          <w:p w:rsidR="00A55B63" w:rsidRPr="00964A2B" w:rsidRDefault="00A55B63" w:rsidP="00174A91">
            <w:pPr>
              <w:spacing w:before="0"/>
              <w:jc w:val="center"/>
              <w:rPr>
                <w:rFonts w:eastAsia="SimSun" w:cs="Arial"/>
                <w:b/>
                <w:lang w:eastAsia="zh-CN"/>
              </w:rPr>
            </w:pPr>
            <w:r w:rsidRPr="00964A2B">
              <w:rPr>
                <w:rFonts w:eastAsia="SimSun" w:cs="Arial"/>
                <w:b/>
                <w:lang w:eastAsia="zh-CN"/>
              </w:rPr>
              <w:t>Οικονομικών</w:t>
            </w:r>
          </w:p>
          <w:p w:rsidR="00A55B63" w:rsidRPr="00964A2B" w:rsidRDefault="00A55B63" w:rsidP="00174A91">
            <w:pPr>
              <w:spacing w:before="0"/>
              <w:jc w:val="center"/>
              <w:rPr>
                <w:rFonts w:eastAsia="SimSun" w:cs="Arial"/>
                <w:lang w:eastAsia="zh-CN"/>
              </w:rPr>
            </w:pPr>
          </w:p>
          <w:p w:rsidR="00A55B63" w:rsidRPr="00964A2B" w:rsidRDefault="00A55B63" w:rsidP="00174A91">
            <w:pPr>
              <w:spacing w:before="0"/>
              <w:jc w:val="center"/>
              <w:rPr>
                <w:rFonts w:eastAsia="SimSun" w:cs="Arial"/>
                <w:lang w:eastAsia="zh-CN"/>
              </w:rPr>
            </w:pPr>
          </w:p>
          <w:p w:rsidR="00A55B63" w:rsidRPr="00964A2B" w:rsidRDefault="00A55B63" w:rsidP="00174A91">
            <w:pPr>
              <w:spacing w:before="0"/>
              <w:jc w:val="left"/>
              <w:rPr>
                <w:rFonts w:eastAsia="SimSun" w:cs="Arial"/>
                <w:lang w:eastAsia="zh-CN"/>
              </w:rPr>
            </w:pPr>
          </w:p>
          <w:p w:rsidR="00A55B63" w:rsidRPr="00964A2B" w:rsidRDefault="00A55B63" w:rsidP="00174A91">
            <w:pPr>
              <w:spacing w:before="0"/>
              <w:jc w:val="center"/>
              <w:rPr>
                <w:rFonts w:eastAsia="SimSun" w:cs="Arial"/>
                <w:lang w:eastAsia="zh-CN"/>
              </w:rPr>
            </w:pPr>
            <w:r w:rsidRPr="00964A2B">
              <w:rPr>
                <w:rFonts w:eastAsia="SimSun" w:cs="Arial"/>
                <w:lang w:eastAsia="zh-CN"/>
              </w:rPr>
              <w:t>Ιωάννης Στουρνάρας</w:t>
            </w:r>
          </w:p>
        </w:tc>
        <w:tc>
          <w:tcPr>
            <w:tcW w:w="4108" w:type="dxa"/>
            <w:gridSpan w:val="2"/>
            <w:shd w:val="clear" w:color="auto" w:fill="auto"/>
          </w:tcPr>
          <w:p w:rsidR="00050059" w:rsidRPr="00964A2B" w:rsidRDefault="007E02DC" w:rsidP="00050059">
            <w:pPr>
              <w:spacing w:before="0"/>
              <w:jc w:val="center"/>
              <w:rPr>
                <w:rFonts w:eastAsia="SimSun" w:cs="Arial"/>
                <w:b/>
                <w:lang w:eastAsia="zh-CN"/>
              </w:rPr>
            </w:pPr>
            <w:r w:rsidRPr="00964A2B">
              <w:rPr>
                <w:rFonts w:eastAsia="SimSun" w:cs="Arial"/>
                <w:b/>
                <w:lang w:eastAsia="zh-CN"/>
              </w:rPr>
              <w:t>Διοικητικής Μεταρρύθμισης και Ηλεκτρονικής Διακυβέρνησης</w:t>
            </w:r>
            <w:r w:rsidR="00050059" w:rsidRPr="00964A2B">
              <w:rPr>
                <w:rFonts w:eastAsia="SimSun" w:cs="Arial"/>
                <w:b/>
                <w:lang w:eastAsia="zh-CN"/>
              </w:rPr>
              <w:t xml:space="preserve">, </w:t>
            </w:r>
          </w:p>
          <w:p w:rsidR="00050059" w:rsidRPr="00964A2B" w:rsidRDefault="00050059" w:rsidP="00050059">
            <w:pPr>
              <w:spacing w:before="0"/>
              <w:jc w:val="center"/>
              <w:rPr>
                <w:rFonts w:eastAsia="SimSun" w:cs="Arial"/>
                <w:lang w:eastAsia="zh-CN"/>
              </w:rPr>
            </w:pPr>
          </w:p>
          <w:p w:rsidR="00050059" w:rsidRPr="00964A2B" w:rsidRDefault="00050059" w:rsidP="00050059">
            <w:pPr>
              <w:spacing w:before="0"/>
              <w:jc w:val="center"/>
              <w:rPr>
                <w:rFonts w:eastAsia="SimSun" w:cs="Arial"/>
                <w:lang w:eastAsia="zh-CN"/>
              </w:rPr>
            </w:pPr>
          </w:p>
          <w:p w:rsidR="00A55B63" w:rsidRPr="00964A2B" w:rsidRDefault="007E02DC" w:rsidP="00050059">
            <w:pPr>
              <w:spacing w:before="0"/>
              <w:jc w:val="center"/>
              <w:rPr>
                <w:rFonts w:eastAsia="SimSun" w:cs="Arial"/>
                <w:lang w:eastAsia="zh-CN"/>
              </w:rPr>
            </w:pPr>
            <w:r w:rsidRPr="00964A2B">
              <w:rPr>
                <w:rFonts w:eastAsia="SimSun" w:cs="Arial"/>
                <w:lang w:eastAsia="zh-CN"/>
              </w:rPr>
              <w:t>Κυριάκος Μητσοτάκης</w:t>
            </w:r>
            <w:r w:rsidR="00050059" w:rsidRPr="00964A2B">
              <w:rPr>
                <w:rFonts w:eastAsia="SimSun" w:cs="Arial"/>
                <w:lang w:eastAsia="zh-CN"/>
              </w:rPr>
              <w:t xml:space="preserve"> </w:t>
            </w:r>
          </w:p>
        </w:tc>
      </w:tr>
      <w:tr w:rsidR="00A55B63" w:rsidRPr="008B7FF1" w:rsidTr="00964A2B">
        <w:trPr>
          <w:trHeight w:hRule="exact" w:val="2152"/>
        </w:trPr>
        <w:tc>
          <w:tcPr>
            <w:tcW w:w="4098" w:type="dxa"/>
            <w:gridSpan w:val="2"/>
            <w:shd w:val="clear" w:color="auto" w:fill="auto"/>
          </w:tcPr>
          <w:p w:rsidR="00050059" w:rsidRPr="00964A2B" w:rsidRDefault="007E02DC" w:rsidP="00050059">
            <w:pPr>
              <w:spacing w:before="0"/>
              <w:jc w:val="center"/>
              <w:rPr>
                <w:rFonts w:eastAsia="SimSun" w:cs="Arial"/>
                <w:b/>
                <w:lang w:eastAsia="zh-CN"/>
              </w:rPr>
            </w:pPr>
            <w:r w:rsidRPr="00964A2B">
              <w:rPr>
                <w:rFonts w:eastAsia="SimSun" w:cs="Arial"/>
                <w:b/>
                <w:lang w:eastAsia="zh-CN"/>
              </w:rPr>
              <w:t>Εργασίας, Κοινωνικής Ασφάλειας και Πρόνοιας</w:t>
            </w:r>
          </w:p>
          <w:p w:rsidR="00050059" w:rsidRPr="00964A2B" w:rsidRDefault="00050059" w:rsidP="00050059">
            <w:pPr>
              <w:spacing w:before="0"/>
              <w:jc w:val="center"/>
              <w:rPr>
                <w:rFonts w:eastAsia="SimSun" w:cs="Arial"/>
                <w:lang w:eastAsia="zh-CN"/>
              </w:rPr>
            </w:pPr>
          </w:p>
          <w:p w:rsidR="00050059" w:rsidRPr="00964A2B" w:rsidRDefault="00050059" w:rsidP="00050059">
            <w:pPr>
              <w:spacing w:before="0"/>
              <w:jc w:val="left"/>
              <w:rPr>
                <w:rFonts w:eastAsia="SimSun" w:cs="Arial"/>
                <w:lang w:eastAsia="zh-CN"/>
              </w:rPr>
            </w:pPr>
          </w:p>
          <w:p w:rsidR="00050059" w:rsidRPr="00964A2B" w:rsidRDefault="007E02DC" w:rsidP="00050059">
            <w:pPr>
              <w:spacing w:before="0"/>
              <w:jc w:val="center"/>
              <w:rPr>
                <w:rFonts w:eastAsia="SimSun" w:cs="Arial"/>
                <w:iCs/>
                <w:lang w:eastAsia="zh-CN"/>
              </w:rPr>
            </w:pPr>
            <w:r w:rsidRPr="00964A2B">
              <w:rPr>
                <w:rFonts w:eastAsia="SimSun" w:cs="Arial"/>
                <w:iCs/>
                <w:lang w:eastAsia="zh-CN"/>
              </w:rPr>
              <w:t>Ιωάννης Βρούτσης</w:t>
            </w:r>
          </w:p>
          <w:p w:rsidR="00A55B63" w:rsidRPr="00964A2B" w:rsidRDefault="00A55B63" w:rsidP="00174A91">
            <w:pPr>
              <w:spacing w:before="0"/>
              <w:jc w:val="center"/>
              <w:rPr>
                <w:rFonts w:eastAsia="SimSun" w:cs="Arial"/>
                <w:lang w:eastAsia="zh-CN"/>
              </w:rPr>
            </w:pPr>
          </w:p>
        </w:tc>
        <w:tc>
          <w:tcPr>
            <w:tcW w:w="4099" w:type="dxa"/>
            <w:shd w:val="clear" w:color="auto" w:fill="auto"/>
          </w:tcPr>
          <w:p w:rsidR="00A55B63" w:rsidRPr="00964A2B" w:rsidRDefault="00A55B63" w:rsidP="00174A91">
            <w:pPr>
              <w:spacing w:before="0"/>
              <w:jc w:val="center"/>
              <w:rPr>
                <w:rFonts w:eastAsia="SimSun" w:cs="Arial"/>
                <w:b/>
                <w:lang w:eastAsia="zh-CN"/>
              </w:rPr>
            </w:pPr>
            <w:r w:rsidRPr="00964A2B">
              <w:rPr>
                <w:rFonts w:eastAsia="SimSun" w:cs="Arial"/>
                <w:b/>
                <w:lang w:eastAsia="zh-CN"/>
              </w:rPr>
              <w:t xml:space="preserve">Περιβάλλοντος, Ενέργειας </w:t>
            </w:r>
          </w:p>
          <w:p w:rsidR="00A55B63" w:rsidRPr="00964A2B" w:rsidRDefault="00A55B63" w:rsidP="00174A91">
            <w:pPr>
              <w:spacing w:before="0"/>
              <w:jc w:val="center"/>
              <w:rPr>
                <w:rFonts w:eastAsia="SimSun" w:cs="Arial"/>
                <w:b/>
                <w:lang w:eastAsia="zh-CN"/>
              </w:rPr>
            </w:pPr>
            <w:r w:rsidRPr="00964A2B">
              <w:rPr>
                <w:rFonts w:eastAsia="SimSun" w:cs="Arial"/>
                <w:b/>
                <w:lang w:eastAsia="zh-CN"/>
              </w:rPr>
              <w:t>και Κλιματικής Αλλαγής</w:t>
            </w:r>
          </w:p>
          <w:p w:rsidR="00A55B63" w:rsidRPr="00964A2B" w:rsidRDefault="00A55B63" w:rsidP="00174A91">
            <w:pPr>
              <w:spacing w:before="0"/>
              <w:jc w:val="center"/>
              <w:rPr>
                <w:rFonts w:eastAsia="SimSun" w:cs="Arial"/>
                <w:b/>
                <w:lang w:eastAsia="zh-CN"/>
              </w:rPr>
            </w:pPr>
          </w:p>
          <w:p w:rsidR="00A55B63" w:rsidRPr="00964A2B" w:rsidRDefault="00A55B63" w:rsidP="00174A91">
            <w:pPr>
              <w:spacing w:before="0"/>
              <w:jc w:val="center"/>
              <w:rPr>
                <w:rFonts w:eastAsia="SimSun" w:cs="Arial"/>
                <w:b/>
                <w:lang w:eastAsia="zh-CN"/>
              </w:rPr>
            </w:pPr>
          </w:p>
          <w:p w:rsidR="00A55B63" w:rsidRPr="00964A2B" w:rsidRDefault="00A55B63" w:rsidP="00174A91">
            <w:pPr>
              <w:spacing w:before="0"/>
              <w:jc w:val="center"/>
              <w:rPr>
                <w:rFonts w:eastAsia="SimSun" w:cs="Arial"/>
                <w:iCs/>
                <w:lang w:eastAsia="zh-CN"/>
              </w:rPr>
            </w:pPr>
            <w:r w:rsidRPr="00964A2B">
              <w:rPr>
                <w:rFonts w:eastAsia="SimSun" w:cs="Arial"/>
                <w:iCs/>
                <w:lang w:eastAsia="zh-CN"/>
              </w:rPr>
              <w:t>Ιωάννης Μανιάτης</w:t>
            </w:r>
          </w:p>
          <w:p w:rsidR="00A55B63" w:rsidRPr="00964A2B" w:rsidRDefault="00A55B63" w:rsidP="00174A91">
            <w:pPr>
              <w:spacing w:before="0"/>
              <w:jc w:val="center"/>
              <w:rPr>
                <w:rFonts w:eastAsia="SimSun" w:cs="Arial"/>
                <w:lang w:eastAsia="zh-CN"/>
              </w:rPr>
            </w:pPr>
          </w:p>
        </w:tc>
      </w:tr>
    </w:tbl>
    <w:p w:rsidR="00050059" w:rsidRPr="007B5F38" w:rsidRDefault="00050059" w:rsidP="00050059">
      <w:pPr>
        <w:spacing w:before="0"/>
        <w:jc w:val="center"/>
        <w:rPr>
          <w:rFonts w:eastAsia="SimSun" w:cs="Arial"/>
          <w:lang w:eastAsia="zh-CN"/>
        </w:rPr>
      </w:pPr>
    </w:p>
    <w:p w:rsidR="00A55B63" w:rsidRPr="00743CF1" w:rsidRDefault="00A55B63" w:rsidP="001D12E5">
      <w:pPr>
        <w:spacing w:line="360" w:lineRule="auto"/>
      </w:pPr>
    </w:p>
    <w:sectPr w:rsidR="00A55B63" w:rsidRPr="00743CF1" w:rsidSect="001B6C4D">
      <w:footerReference w:type="default" r:id="rId8"/>
      <w:pgSz w:w="11906" w:h="16838" w:code="9"/>
      <w:pgMar w:top="1440" w:right="2125" w:bottom="1440" w:left="1800" w:header="708"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B3" w:rsidRDefault="00FF2AB3" w:rsidP="00F14843">
      <w:r>
        <w:separator/>
      </w:r>
    </w:p>
  </w:endnote>
  <w:endnote w:type="continuationSeparator" w:id="0">
    <w:p w:rsidR="00FF2AB3" w:rsidRDefault="00FF2AB3" w:rsidP="00F1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AB3" w:rsidRDefault="00FF2AB3" w:rsidP="008F152B">
    <w:pPr>
      <w:pStyle w:val="a8"/>
      <w:jc w:val="center"/>
    </w:pPr>
    <w:r>
      <w:fldChar w:fldCharType="begin"/>
    </w:r>
    <w:r>
      <w:instrText xml:space="preserve"> PAGE   \* MERGEFORMAT </w:instrText>
    </w:r>
    <w:r>
      <w:fldChar w:fldCharType="separate"/>
    </w:r>
    <w:r w:rsidR="00791BE9">
      <w:rPr>
        <w:noProof/>
      </w:rPr>
      <w:t>2</w:t>
    </w:r>
    <w:r>
      <w:rPr>
        <w:noProof/>
      </w:rPr>
      <w:fldChar w:fldCharType="end"/>
    </w:r>
  </w:p>
  <w:p w:rsidR="00FF2AB3" w:rsidRDefault="00FF2AB3" w:rsidP="00F148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B3" w:rsidRDefault="00FF2AB3" w:rsidP="00F14843">
      <w:r>
        <w:separator/>
      </w:r>
    </w:p>
  </w:footnote>
  <w:footnote w:type="continuationSeparator" w:id="0">
    <w:p w:rsidR="00FF2AB3" w:rsidRDefault="00FF2AB3" w:rsidP="00F14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DE03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0648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909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3218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8434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D4B7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FE03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C46C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32E8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BE7DC6"/>
    <w:lvl w:ilvl="0">
      <w:start w:val="1"/>
      <w:numFmt w:val="bullet"/>
      <w:lvlText w:val=""/>
      <w:lvlJc w:val="left"/>
      <w:pPr>
        <w:tabs>
          <w:tab w:val="num" w:pos="360"/>
        </w:tabs>
        <w:ind w:left="360" w:hanging="360"/>
      </w:pPr>
      <w:rPr>
        <w:rFonts w:ascii="Symbol" w:hAnsi="Symbol" w:hint="default"/>
      </w:rPr>
    </w:lvl>
  </w:abstractNum>
  <w:abstractNum w:abstractNumId="10">
    <w:nsid w:val="081F43A6"/>
    <w:multiLevelType w:val="hybridMultilevel"/>
    <w:tmpl w:val="2F5C2876"/>
    <w:lvl w:ilvl="0" w:tplc="D9A299FE">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92D233B"/>
    <w:multiLevelType w:val="hybridMultilevel"/>
    <w:tmpl w:val="931AE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D7453D9"/>
    <w:multiLevelType w:val="hybridMultilevel"/>
    <w:tmpl w:val="3516FF2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26110B4"/>
    <w:multiLevelType w:val="hybridMultilevel"/>
    <w:tmpl w:val="E34C6AF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2E4B2D33"/>
    <w:multiLevelType w:val="multilevel"/>
    <w:tmpl w:val="66A0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F60AC5"/>
    <w:multiLevelType w:val="hybridMultilevel"/>
    <w:tmpl w:val="0E64852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
    <w:nsid w:val="3A7141D1"/>
    <w:multiLevelType w:val="hybridMultilevel"/>
    <w:tmpl w:val="DF7409D0"/>
    <w:lvl w:ilvl="0" w:tplc="995CDAFE">
      <w:numFmt w:val="bullet"/>
      <w:lvlText w:val=""/>
      <w:lvlJc w:val="left"/>
      <w:pPr>
        <w:ind w:left="720" w:hanging="360"/>
      </w:pPr>
      <w:rPr>
        <w:rFonts w:ascii="Wingdings" w:eastAsia="Times New Roman"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B238E7"/>
    <w:multiLevelType w:val="multilevel"/>
    <w:tmpl w:val="B9F6B264"/>
    <w:name w:val="AOGen2"/>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52C221AB"/>
    <w:multiLevelType w:val="hybridMultilevel"/>
    <w:tmpl w:val="CE307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AF63BE2"/>
    <w:multiLevelType w:val="hybridMultilevel"/>
    <w:tmpl w:val="40428B1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nsid w:val="6B001E0F"/>
    <w:multiLevelType w:val="hybridMultilevel"/>
    <w:tmpl w:val="224E4DC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6FA97AA0"/>
    <w:multiLevelType w:val="hybridMultilevel"/>
    <w:tmpl w:val="4DDA1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0054F6C"/>
    <w:multiLevelType w:val="hybridMultilevel"/>
    <w:tmpl w:val="620E4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4F1220"/>
    <w:multiLevelType w:val="hybridMultilevel"/>
    <w:tmpl w:val="AE884C4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20"/>
  </w:num>
  <w:num w:numId="14">
    <w:abstractNumId w:val="19"/>
  </w:num>
  <w:num w:numId="15">
    <w:abstractNumId w:val="17"/>
  </w:num>
  <w:num w:numId="16">
    <w:abstractNumId w:val="18"/>
  </w:num>
  <w:num w:numId="17">
    <w:abstractNumId w:val="21"/>
  </w:num>
  <w:num w:numId="18">
    <w:abstractNumId w:val="14"/>
  </w:num>
  <w:num w:numId="19">
    <w:abstractNumId w:val="16"/>
  </w:num>
  <w:num w:numId="20">
    <w:abstractNumId w:val="22"/>
  </w:num>
  <w:num w:numId="21">
    <w:abstractNumId w:val="23"/>
  </w:num>
  <w:num w:numId="22">
    <w:abstractNumId w:val="12"/>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0"/>
    <w:rsid w:val="00000485"/>
    <w:rsid w:val="00001181"/>
    <w:rsid w:val="00003B9E"/>
    <w:rsid w:val="000047F3"/>
    <w:rsid w:val="0000483E"/>
    <w:rsid w:val="00004885"/>
    <w:rsid w:val="00005255"/>
    <w:rsid w:val="000116B8"/>
    <w:rsid w:val="000132E8"/>
    <w:rsid w:val="00014EAA"/>
    <w:rsid w:val="000155DC"/>
    <w:rsid w:val="00017642"/>
    <w:rsid w:val="00017851"/>
    <w:rsid w:val="000178CA"/>
    <w:rsid w:val="00024253"/>
    <w:rsid w:val="00024A66"/>
    <w:rsid w:val="00025471"/>
    <w:rsid w:val="000256CA"/>
    <w:rsid w:val="00030924"/>
    <w:rsid w:val="000324C8"/>
    <w:rsid w:val="000340A9"/>
    <w:rsid w:val="00043411"/>
    <w:rsid w:val="00043620"/>
    <w:rsid w:val="00044BC8"/>
    <w:rsid w:val="00047CA5"/>
    <w:rsid w:val="00050059"/>
    <w:rsid w:val="00053970"/>
    <w:rsid w:val="000549FE"/>
    <w:rsid w:val="00056160"/>
    <w:rsid w:val="00056998"/>
    <w:rsid w:val="00056DF1"/>
    <w:rsid w:val="000650AC"/>
    <w:rsid w:val="00066212"/>
    <w:rsid w:val="00066CFC"/>
    <w:rsid w:val="00070131"/>
    <w:rsid w:val="0007172B"/>
    <w:rsid w:val="00074517"/>
    <w:rsid w:val="000754A4"/>
    <w:rsid w:val="0007577F"/>
    <w:rsid w:val="000812D8"/>
    <w:rsid w:val="000819BC"/>
    <w:rsid w:val="00082462"/>
    <w:rsid w:val="000857E6"/>
    <w:rsid w:val="000858E7"/>
    <w:rsid w:val="0009153C"/>
    <w:rsid w:val="00092260"/>
    <w:rsid w:val="00093477"/>
    <w:rsid w:val="00097307"/>
    <w:rsid w:val="000A2752"/>
    <w:rsid w:val="000A6793"/>
    <w:rsid w:val="000A6D33"/>
    <w:rsid w:val="000A7FE2"/>
    <w:rsid w:val="000B211D"/>
    <w:rsid w:val="000B6F68"/>
    <w:rsid w:val="000B71F5"/>
    <w:rsid w:val="000D5967"/>
    <w:rsid w:val="000D5B96"/>
    <w:rsid w:val="000D6F7E"/>
    <w:rsid w:val="000D71F7"/>
    <w:rsid w:val="000D73BF"/>
    <w:rsid w:val="000D74CC"/>
    <w:rsid w:val="000D7761"/>
    <w:rsid w:val="000E103C"/>
    <w:rsid w:val="000E3B59"/>
    <w:rsid w:val="000E61DE"/>
    <w:rsid w:val="000E7A86"/>
    <w:rsid w:val="000F1D3C"/>
    <w:rsid w:val="000F2354"/>
    <w:rsid w:val="00106390"/>
    <w:rsid w:val="00106681"/>
    <w:rsid w:val="00107E8E"/>
    <w:rsid w:val="00110150"/>
    <w:rsid w:val="00110D68"/>
    <w:rsid w:val="0011680D"/>
    <w:rsid w:val="00116C52"/>
    <w:rsid w:val="0012435A"/>
    <w:rsid w:val="00127337"/>
    <w:rsid w:val="001274F1"/>
    <w:rsid w:val="00131695"/>
    <w:rsid w:val="001317B1"/>
    <w:rsid w:val="00132584"/>
    <w:rsid w:val="0013558F"/>
    <w:rsid w:val="00135B50"/>
    <w:rsid w:val="001426E6"/>
    <w:rsid w:val="001463AC"/>
    <w:rsid w:val="00150FEF"/>
    <w:rsid w:val="00157F88"/>
    <w:rsid w:val="001623F3"/>
    <w:rsid w:val="0016251D"/>
    <w:rsid w:val="00167A62"/>
    <w:rsid w:val="0017178C"/>
    <w:rsid w:val="00173657"/>
    <w:rsid w:val="00174131"/>
    <w:rsid w:val="00174A91"/>
    <w:rsid w:val="001751B1"/>
    <w:rsid w:val="001841D2"/>
    <w:rsid w:val="001877FF"/>
    <w:rsid w:val="00187814"/>
    <w:rsid w:val="001932C5"/>
    <w:rsid w:val="001953AE"/>
    <w:rsid w:val="00196322"/>
    <w:rsid w:val="001A4914"/>
    <w:rsid w:val="001A4B56"/>
    <w:rsid w:val="001A4B93"/>
    <w:rsid w:val="001B2BC9"/>
    <w:rsid w:val="001B6C4D"/>
    <w:rsid w:val="001C32B1"/>
    <w:rsid w:val="001C32DF"/>
    <w:rsid w:val="001C4033"/>
    <w:rsid w:val="001C5A38"/>
    <w:rsid w:val="001C6C7D"/>
    <w:rsid w:val="001D12E5"/>
    <w:rsid w:val="001D29E4"/>
    <w:rsid w:val="001D3DA2"/>
    <w:rsid w:val="001D3E02"/>
    <w:rsid w:val="001D43B1"/>
    <w:rsid w:val="001D5869"/>
    <w:rsid w:val="001D5A06"/>
    <w:rsid w:val="001D67FA"/>
    <w:rsid w:val="001E2D89"/>
    <w:rsid w:val="001E5778"/>
    <w:rsid w:val="001F2584"/>
    <w:rsid w:val="00203244"/>
    <w:rsid w:val="0020419A"/>
    <w:rsid w:val="00206BC0"/>
    <w:rsid w:val="00210D90"/>
    <w:rsid w:val="00213262"/>
    <w:rsid w:val="002221D0"/>
    <w:rsid w:val="002262BB"/>
    <w:rsid w:val="002279B8"/>
    <w:rsid w:val="00237D81"/>
    <w:rsid w:val="00242D9A"/>
    <w:rsid w:val="00245FCD"/>
    <w:rsid w:val="00246493"/>
    <w:rsid w:val="0025148F"/>
    <w:rsid w:val="002522FC"/>
    <w:rsid w:val="00254115"/>
    <w:rsid w:val="00255390"/>
    <w:rsid w:val="002604F2"/>
    <w:rsid w:val="002626B8"/>
    <w:rsid w:val="002648C9"/>
    <w:rsid w:val="00266EA5"/>
    <w:rsid w:val="00270C96"/>
    <w:rsid w:val="00272818"/>
    <w:rsid w:val="00272EA7"/>
    <w:rsid w:val="002736B1"/>
    <w:rsid w:val="00273AF8"/>
    <w:rsid w:val="00273B2E"/>
    <w:rsid w:val="00273C40"/>
    <w:rsid w:val="002743F4"/>
    <w:rsid w:val="002773F9"/>
    <w:rsid w:val="002801A0"/>
    <w:rsid w:val="00286377"/>
    <w:rsid w:val="0028766B"/>
    <w:rsid w:val="002913B2"/>
    <w:rsid w:val="002919A1"/>
    <w:rsid w:val="002948CE"/>
    <w:rsid w:val="00297B51"/>
    <w:rsid w:val="002A21C9"/>
    <w:rsid w:val="002A2949"/>
    <w:rsid w:val="002A7282"/>
    <w:rsid w:val="002B06BB"/>
    <w:rsid w:val="002B10EC"/>
    <w:rsid w:val="002B33E5"/>
    <w:rsid w:val="002B7736"/>
    <w:rsid w:val="002B7EFF"/>
    <w:rsid w:val="002C31F3"/>
    <w:rsid w:val="002C4414"/>
    <w:rsid w:val="002C4BDF"/>
    <w:rsid w:val="002C52E1"/>
    <w:rsid w:val="002C5926"/>
    <w:rsid w:val="002C7C98"/>
    <w:rsid w:val="002D0BC7"/>
    <w:rsid w:val="002D55BE"/>
    <w:rsid w:val="002E1B0F"/>
    <w:rsid w:val="002E7179"/>
    <w:rsid w:val="002F1512"/>
    <w:rsid w:val="002F17D4"/>
    <w:rsid w:val="002F4264"/>
    <w:rsid w:val="002F6328"/>
    <w:rsid w:val="00305681"/>
    <w:rsid w:val="00307938"/>
    <w:rsid w:val="00311319"/>
    <w:rsid w:val="00314600"/>
    <w:rsid w:val="00315BE5"/>
    <w:rsid w:val="00315FB7"/>
    <w:rsid w:val="00317238"/>
    <w:rsid w:val="003172C2"/>
    <w:rsid w:val="00317D4C"/>
    <w:rsid w:val="003220F9"/>
    <w:rsid w:val="00325F57"/>
    <w:rsid w:val="0032769D"/>
    <w:rsid w:val="00333A8E"/>
    <w:rsid w:val="003347DB"/>
    <w:rsid w:val="0033487B"/>
    <w:rsid w:val="003349A8"/>
    <w:rsid w:val="00335360"/>
    <w:rsid w:val="0034099D"/>
    <w:rsid w:val="0034679A"/>
    <w:rsid w:val="0035388E"/>
    <w:rsid w:val="00354C53"/>
    <w:rsid w:val="00354EAD"/>
    <w:rsid w:val="00363292"/>
    <w:rsid w:val="00363D95"/>
    <w:rsid w:val="003679AC"/>
    <w:rsid w:val="00370F0A"/>
    <w:rsid w:val="00370F42"/>
    <w:rsid w:val="00371470"/>
    <w:rsid w:val="003716AF"/>
    <w:rsid w:val="00373817"/>
    <w:rsid w:val="00373AF2"/>
    <w:rsid w:val="00376BFC"/>
    <w:rsid w:val="00380605"/>
    <w:rsid w:val="003830F3"/>
    <w:rsid w:val="00384DFA"/>
    <w:rsid w:val="00385988"/>
    <w:rsid w:val="00387DF2"/>
    <w:rsid w:val="00395176"/>
    <w:rsid w:val="003953D5"/>
    <w:rsid w:val="003954A3"/>
    <w:rsid w:val="00395AE7"/>
    <w:rsid w:val="0039650D"/>
    <w:rsid w:val="00397EE2"/>
    <w:rsid w:val="003A2892"/>
    <w:rsid w:val="003A2DD1"/>
    <w:rsid w:val="003A561D"/>
    <w:rsid w:val="003B4541"/>
    <w:rsid w:val="003B5469"/>
    <w:rsid w:val="003B62E1"/>
    <w:rsid w:val="003C1A82"/>
    <w:rsid w:val="003C3096"/>
    <w:rsid w:val="003C3402"/>
    <w:rsid w:val="003C526A"/>
    <w:rsid w:val="003C5947"/>
    <w:rsid w:val="003D21B8"/>
    <w:rsid w:val="003D64A3"/>
    <w:rsid w:val="003D6CFE"/>
    <w:rsid w:val="003D7C86"/>
    <w:rsid w:val="003E4629"/>
    <w:rsid w:val="003F1C5A"/>
    <w:rsid w:val="003F2271"/>
    <w:rsid w:val="003F316E"/>
    <w:rsid w:val="003F3B66"/>
    <w:rsid w:val="003F4E5F"/>
    <w:rsid w:val="003F73E3"/>
    <w:rsid w:val="004006C1"/>
    <w:rsid w:val="004015B4"/>
    <w:rsid w:val="00401C1E"/>
    <w:rsid w:val="00402118"/>
    <w:rsid w:val="00402A48"/>
    <w:rsid w:val="004042B0"/>
    <w:rsid w:val="004121DD"/>
    <w:rsid w:val="0041351C"/>
    <w:rsid w:val="00413520"/>
    <w:rsid w:val="00420850"/>
    <w:rsid w:val="004321CB"/>
    <w:rsid w:val="00432F8A"/>
    <w:rsid w:val="004331F0"/>
    <w:rsid w:val="00435C0A"/>
    <w:rsid w:val="00437999"/>
    <w:rsid w:val="00440253"/>
    <w:rsid w:val="00443246"/>
    <w:rsid w:val="00445024"/>
    <w:rsid w:val="00445316"/>
    <w:rsid w:val="00445B00"/>
    <w:rsid w:val="00445DEA"/>
    <w:rsid w:val="00446D1C"/>
    <w:rsid w:val="00450D8D"/>
    <w:rsid w:val="004532BF"/>
    <w:rsid w:val="00453ECF"/>
    <w:rsid w:val="00462C54"/>
    <w:rsid w:val="0046468E"/>
    <w:rsid w:val="00464D3B"/>
    <w:rsid w:val="004670AC"/>
    <w:rsid w:val="004709F0"/>
    <w:rsid w:val="00475C0D"/>
    <w:rsid w:val="00483116"/>
    <w:rsid w:val="004869FC"/>
    <w:rsid w:val="0048765B"/>
    <w:rsid w:val="00487C85"/>
    <w:rsid w:val="004A28E9"/>
    <w:rsid w:val="004A29E3"/>
    <w:rsid w:val="004A2B15"/>
    <w:rsid w:val="004A3D5B"/>
    <w:rsid w:val="004A4B5B"/>
    <w:rsid w:val="004A58E0"/>
    <w:rsid w:val="004B5EA8"/>
    <w:rsid w:val="004B6198"/>
    <w:rsid w:val="004B650F"/>
    <w:rsid w:val="004C1435"/>
    <w:rsid w:val="004C555A"/>
    <w:rsid w:val="004D798D"/>
    <w:rsid w:val="004E271A"/>
    <w:rsid w:val="004E54AE"/>
    <w:rsid w:val="004E79A0"/>
    <w:rsid w:val="00502F1E"/>
    <w:rsid w:val="00502F8A"/>
    <w:rsid w:val="00504A6D"/>
    <w:rsid w:val="005141BA"/>
    <w:rsid w:val="005209C6"/>
    <w:rsid w:val="0052297A"/>
    <w:rsid w:val="0052514A"/>
    <w:rsid w:val="00525622"/>
    <w:rsid w:val="00527CF9"/>
    <w:rsid w:val="005348CD"/>
    <w:rsid w:val="00534AD0"/>
    <w:rsid w:val="005368DB"/>
    <w:rsid w:val="00537FA0"/>
    <w:rsid w:val="00541837"/>
    <w:rsid w:val="00544EEB"/>
    <w:rsid w:val="00545409"/>
    <w:rsid w:val="0055068D"/>
    <w:rsid w:val="00552BC2"/>
    <w:rsid w:val="005552D3"/>
    <w:rsid w:val="00555528"/>
    <w:rsid w:val="00555614"/>
    <w:rsid w:val="00557C67"/>
    <w:rsid w:val="00565BB6"/>
    <w:rsid w:val="0056659B"/>
    <w:rsid w:val="00570FBE"/>
    <w:rsid w:val="00571F8A"/>
    <w:rsid w:val="00573577"/>
    <w:rsid w:val="00583818"/>
    <w:rsid w:val="00583B1C"/>
    <w:rsid w:val="005848CB"/>
    <w:rsid w:val="00585B3C"/>
    <w:rsid w:val="005863BE"/>
    <w:rsid w:val="00590014"/>
    <w:rsid w:val="005915D9"/>
    <w:rsid w:val="005922D1"/>
    <w:rsid w:val="00592CC9"/>
    <w:rsid w:val="00592F43"/>
    <w:rsid w:val="005A5C31"/>
    <w:rsid w:val="005B0535"/>
    <w:rsid w:val="005B05CC"/>
    <w:rsid w:val="005B5591"/>
    <w:rsid w:val="005B6B0B"/>
    <w:rsid w:val="005B7CEC"/>
    <w:rsid w:val="005B7F43"/>
    <w:rsid w:val="005C2C95"/>
    <w:rsid w:val="005C4B2A"/>
    <w:rsid w:val="005C611F"/>
    <w:rsid w:val="005C6788"/>
    <w:rsid w:val="005D03E3"/>
    <w:rsid w:val="005D39CB"/>
    <w:rsid w:val="005D3F47"/>
    <w:rsid w:val="005D79D4"/>
    <w:rsid w:val="005E2B57"/>
    <w:rsid w:val="005E5033"/>
    <w:rsid w:val="005F0A9B"/>
    <w:rsid w:val="005F3558"/>
    <w:rsid w:val="005F4CFF"/>
    <w:rsid w:val="005F63FC"/>
    <w:rsid w:val="00606649"/>
    <w:rsid w:val="006071F0"/>
    <w:rsid w:val="00612F00"/>
    <w:rsid w:val="00613766"/>
    <w:rsid w:val="00614144"/>
    <w:rsid w:val="00616933"/>
    <w:rsid w:val="00616FB8"/>
    <w:rsid w:val="0061721C"/>
    <w:rsid w:val="0061734F"/>
    <w:rsid w:val="00617770"/>
    <w:rsid w:val="00617890"/>
    <w:rsid w:val="0062179E"/>
    <w:rsid w:val="00622B2B"/>
    <w:rsid w:val="006247D1"/>
    <w:rsid w:val="00625092"/>
    <w:rsid w:val="006275B4"/>
    <w:rsid w:val="00632ADC"/>
    <w:rsid w:val="006345D9"/>
    <w:rsid w:val="00641DA2"/>
    <w:rsid w:val="006474AA"/>
    <w:rsid w:val="006478B0"/>
    <w:rsid w:val="00647EFA"/>
    <w:rsid w:val="00647FBE"/>
    <w:rsid w:val="0065007A"/>
    <w:rsid w:val="00651C8B"/>
    <w:rsid w:val="0065502C"/>
    <w:rsid w:val="00656002"/>
    <w:rsid w:val="00660918"/>
    <w:rsid w:val="00661BE5"/>
    <w:rsid w:val="00662D98"/>
    <w:rsid w:val="00662EB9"/>
    <w:rsid w:val="006722EC"/>
    <w:rsid w:val="00672D77"/>
    <w:rsid w:val="00674DB2"/>
    <w:rsid w:val="00675F5E"/>
    <w:rsid w:val="00675FCF"/>
    <w:rsid w:val="00677F85"/>
    <w:rsid w:val="0068081E"/>
    <w:rsid w:val="00683FAD"/>
    <w:rsid w:val="0068416F"/>
    <w:rsid w:val="00692E6C"/>
    <w:rsid w:val="00694245"/>
    <w:rsid w:val="00694F0B"/>
    <w:rsid w:val="006950C5"/>
    <w:rsid w:val="00695350"/>
    <w:rsid w:val="006A244E"/>
    <w:rsid w:val="006A5FBA"/>
    <w:rsid w:val="006A625F"/>
    <w:rsid w:val="006A7F1B"/>
    <w:rsid w:val="006B059C"/>
    <w:rsid w:val="006B085B"/>
    <w:rsid w:val="006B1F83"/>
    <w:rsid w:val="006B3494"/>
    <w:rsid w:val="006B592D"/>
    <w:rsid w:val="006B5D7E"/>
    <w:rsid w:val="006B657A"/>
    <w:rsid w:val="006C01DA"/>
    <w:rsid w:val="006C236F"/>
    <w:rsid w:val="006C5146"/>
    <w:rsid w:val="006C6E96"/>
    <w:rsid w:val="006C7DC6"/>
    <w:rsid w:val="006D3056"/>
    <w:rsid w:val="006D30FC"/>
    <w:rsid w:val="006D32F9"/>
    <w:rsid w:val="006D3DD0"/>
    <w:rsid w:val="006D512C"/>
    <w:rsid w:val="006D6642"/>
    <w:rsid w:val="006E296B"/>
    <w:rsid w:val="006E31D2"/>
    <w:rsid w:val="006E5490"/>
    <w:rsid w:val="006F00DA"/>
    <w:rsid w:val="006F1359"/>
    <w:rsid w:val="006F18F9"/>
    <w:rsid w:val="006F19AD"/>
    <w:rsid w:val="006F281F"/>
    <w:rsid w:val="007004C9"/>
    <w:rsid w:val="00707A9F"/>
    <w:rsid w:val="00712867"/>
    <w:rsid w:val="007135A7"/>
    <w:rsid w:val="00714628"/>
    <w:rsid w:val="00720147"/>
    <w:rsid w:val="00724975"/>
    <w:rsid w:val="007249F5"/>
    <w:rsid w:val="00727C6D"/>
    <w:rsid w:val="00730E96"/>
    <w:rsid w:val="00732B43"/>
    <w:rsid w:val="00734235"/>
    <w:rsid w:val="00734EB8"/>
    <w:rsid w:val="0073541B"/>
    <w:rsid w:val="007378A4"/>
    <w:rsid w:val="007425A2"/>
    <w:rsid w:val="00743CF1"/>
    <w:rsid w:val="00747A63"/>
    <w:rsid w:val="00747F6F"/>
    <w:rsid w:val="00750DD8"/>
    <w:rsid w:val="007553CD"/>
    <w:rsid w:val="00761453"/>
    <w:rsid w:val="0076357B"/>
    <w:rsid w:val="007648EE"/>
    <w:rsid w:val="00764AD4"/>
    <w:rsid w:val="00766F9C"/>
    <w:rsid w:val="007719C9"/>
    <w:rsid w:val="007736FB"/>
    <w:rsid w:val="007744E5"/>
    <w:rsid w:val="00774D88"/>
    <w:rsid w:val="00781FC1"/>
    <w:rsid w:val="007829C0"/>
    <w:rsid w:val="00782B59"/>
    <w:rsid w:val="007830D8"/>
    <w:rsid w:val="00790AA9"/>
    <w:rsid w:val="00791BE9"/>
    <w:rsid w:val="007955A0"/>
    <w:rsid w:val="007A2974"/>
    <w:rsid w:val="007A2ADD"/>
    <w:rsid w:val="007A3AA5"/>
    <w:rsid w:val="007B0D99"/>
    <w:rsid w:val="007B1D99"/>
    <w:rsid w:val="007B5F38"/>
    <w:rsid w:val="007C140F"/>
    <w:rsid w:val="007C167B"/>
    <w:rsid w:val="007C32A0"/>
    <w:rsid w:val="007C43DF"/>
    <w:rsid w:val="007C7641"/>
    <w:rsid w:val="007D21E3"/>
    <w:rsid w:val="007D4019"/>
    <w:rsid w:val="007E02DC"/>
    <w:rsid w:val="007E0B23"/>
    <w:rsid w:val="007E1EB6"/>
    <w:rsid w:val="007E3316"/>
    <w:rsid w:val="007E5678"/>
    <w:rsid w:val="007E60EC"/>
    <w:rsid w:val="007E75B3"/>
    <w:rsid w:val="007E7CF5"/>
    <w:rsid w:val="007F13AE"/>
    <w:rsid w:val="007F58FE"/>
    <w:rsid w:val="00800CB9"/>
    <w:rsid w:val="00801FB9"/>
    <w:rsid w:val="00804981"/>
    <w:rsid w:val="008052BA"/>
    <w:rsid w:val="00806DC5"/>
    <w:rsid w:val="00814E7F"/>
    <w:rsid w:val="00816638"/>
    <w:rsid w:val="00821E48"/>
    <w:rsid w:val="0082753F"/>
    <w:rsid w:val="0083015C"/>
    <w:rsid w:val="00831F0C"/>
    <w:rsid w:val="00833660"/>
    <w:rsid w:val="0083694C"/>
    <w:rsid w:val="008371FD"/>
    <w:rsid w:val="00837802"/>
    <w:rsid w:val="008378C5"/>
    <w:rsid w:val="0084053B"/>
    <w:rsid w:val="00840C25"/>
    <w:rsid w:val="00842CEE"/>
    <w:rsid w:val="008441BD"/>
    <w:rsid w:val="00845A1F"/>
    <w:rsid w:val="00845A27"/>
    <w:rsid w:val="00846C7A"/>
    <w:rsid w:val="0085063B"/>
    <w:rsid w:val="00850C20"/>
    <w:rsid w:val="00853BE4"/>
    <w:rsid w:val="00855120"/>
    <w:rsid w:val="00855F1C"/>
    <w:rsid w:val="0085620F"/>
    <w:rsid w:val="00856B34"/>
    <w:rsid w:val="00857B88"/>
    <w:rsid w:val="00860E13"/>
    <w:rsid w:val="00861CEB"/>
    <w:rsid w:val="00863EEC"/>
    <w:rsid w:val="00867561"/>
    <w:rsid w:val="008701EF"/>
    <w:rsid w:val="00872566"/>
    <w:rsid w:val="00876C8B"/>
    <w:rsid w:val="00876F68"/>
    <w:rsid w:val="00877C9A"/>
    <w:rsid w:val="0088042E"/>
    <w:rsid w:val="00882FC2"/>
    <w:rsid w:val="00884580"/>
    <w:rsid w:val="00885193"/>
    <w:rsid w:val="00885FB6"/>
    <w:rsid w:val="0088626C"/>
    <w:rsid w:val="00890B58"/>
    <w:rsid w:val="0089137B"/>
    <w:rsid w:val="00892936"/>
    <w:rsid w:val="008941E5"/>
    <w:rsid w:val="008943CE"/>
    <w:rsid w:val="00896D61"/>
    <w:rsid w:val="008A0051"/>
    <w:rsid w:val="008A706C"/>
    <w:rsid w:val="008A79A1"/>
    <w:rsid w:val="008B0635"/>
    <w:rsid w:val="008B37E3"/>
    <w:rsid w:val="008B7515"/>
    <w:rsid w:val="008B7FF1"/>
    <w:rsid w:val="008C1506"/>
    <w:rsid w:val="008C392D"/>
    <w:rsid w:val="008C3D60"/>
    <w:rsid w:val="008C4B05"/>
    <w:rsid w:val="008C5256"/>
    <w:rsid w:val="008D690C"/>
    <w:rsid w:val="008E1E3C"/>
    <w:rsid w:val="008F152B"/>
    <w:rsid w:val="008F5A08"/>
    <w:rsid w:val="008F72E1"/>
    <w:rsid w:val="00901551"/>
    <w:rsid w:val="00902D75"/>
    <w:rsid w:val="009055FA"/>
    <w:rsid w:val="00906E77"/>
    <w:rsid w:val="00912BBF"/>
    <w:rsid w:val="00915671"/>
    <w:rsid w:val="00916469"/>
    <w:rsid w:val="00916939"/>
    <w:rsid w:val="00920227"/>
    <w:rsid w:val="0092022A"/>
    <w:rsid w:val="0092040E"/>
    <w:rsid w:val="00922B23"/>
    <w:rsid w:val="009243E7"/>
    <w:rsid w:val="009275BD"/>
    <w:rsid w:val="009311D3"/>
    <w:rsid w:val="00931B21"/>
    <w:rsid w:val="009338D2"/>
    <w:rsid w:val="0093673B"/>
    <w:rsid w:val="00937E43"/>
    <w:rsid w:val="00943915"/>
    <w:rsid w:val="00943CE7"/>
    <w:rsid w:val="009525DB"/>
    <w:rsid w:val="00955DD6"/>
    <w:rsid w:val="00956E69"/>
    <w:rsid w:val="00957F3F"/>
    <w:rsid w:val="00960701"/>
    <w:rsid w:val="00963E5A"/>
    <w:rsid w:val="00964A2B"/>
    <w:rsid w:val="00964AB2"/>
    <w:rsid w:val="00967FB1"/>
    <w:rsid w:val="00970D80"/>
    <w:rsid w:val="009753A1"/>
    <w:rsid w:val="00976B75"/>
    <w:rsid w:val="009770FA"/>
    <w:rsid w:val="00980F85"/>
    <w:rsid w:val="009936C9"/>
    <w:rsid w:val="00994FCD"/>
    <w:rsid w:val="009A2E67"/>
    <w:rsid w:val="009A7B9F"/>
    <w:rsid w:val="009A7E2F"/>
    <w:rsid w:val="009B0E4C"/>
    <w:rsid w:val="009C036B"/>
    <w:rsid w:val="009C1518"/>
    <w:rsid w:val="009C1778"/>
    <w:rsid w:val="009D5270"/>
    <w:rsid w:val="009E0460"/>
    <w:rsid w:val="009E1F3F"/>
    <w:rsid w:val="009E285A"/>
    <w:rsid w:val="009E5C49"/>
    <w:rsid w:val="009E5CE2"/>
    <w:rsid w:val="009E5E04"/>
    <w:rsid w:val="009E6711"/>
    <w:rsid w:val="009E71DD"/>
    <w:rsid w:val="009E748A"/>
    <w:rsid w:val="009F5709"/>
    <w:rsid w:val="00A0179B"/>
    <w:rsid w:val="00A02294"/>
    <w:rsid w:val="00A04208"/>
    <w:rsid w:val="00A04722"/>
    <w:rsid w:val="00A06042"/>
    <w:rsid w:val="00A06664"/>
    <w:rsid w:val="00A07DD6"/>
    <w:rsid w:val="00A14365"/>
    <w:rsid w:val="00A163DF"/>
    <w:rsid w:val="00A201DF"/>
    <w:rsid w:val="00A22B26"/>
    <w:rsid w:val="00A22CCC"/>
    <w:rsid w:val="00A2470A"/>
    <w:rsid w:val="00A327A9"/>
    <w:rsid w:val="00A37350"/>
    <w:rsid w:val="00A406D2"/>
    <w:rsid w:val="00A412F4"/>
    <w:rsid w:val="00A428DA"/>
    <w:rsid w:val="00A437CF"/>
    <w:rsid w:val="00A445D4"/>
    <w:rsid w:val="00A46C58"/>
    <w:rsid w:val="00A47E5E"/>
    <w:rsid w:val="00A52DA7"/>
    <w:rsid w:val="00A5406F"/>
    <w:rsid w:val="00A55B63"/>
    <w:rsid w:val="00A56F76"/>
    <w:rsid w:val="00A63E65"/>
    <w:rsid w:val="00A67F84"/>
    <w:rsid w:val="00A70F5C"/>
    <w:rsid w:val="00A72C25"/>
    <w:rsid w:val="00A736E7"/>
    <w:rsid w:val="00A73CF1"/>
    <w:rsid w:val="00A75D32"/>
    <w:rsid w:val="00A760B2"/>
    <w:rsid w:val="00A8005B"/>
    <w:rsid w:val="00A82966"/>
    <w:rsid w:val="00A84D05"/>
    <w:rsid w:val="00A85C4C"/>
    <w:rsid w:val="00A87FDF"/>
    <w:rsid w:val="00A91769"/>
    <w:rsid w:val="00A95713"/>
    <w:rsid w:val="00A97558"/>
    <w:rsid w:val="00AA179C"/>
    <w:rsid w:val="00AA30D5"/>
    <w:rsid w:val="00AA3168"/>
    <w:rsid w:val="00AA4F15"/>
    <w:rsid w:val="00AB0F6D"/>
    <w:rsid w:val="00AB1E0D"/>
    <w:rsid w:val="00AB2C8F"/>
    <w:rsid w:val="00AB707C"/>
    <w:rsid w:val="00AB79A3"/>
    <w:rsid w:val="00AC022E"/>
    <w:rsid w:val="00AC2995"/>
    <w:rsid w:val="00AC3393"/>
    <w:rsid w:val="00AC3633"/>
    <w:rsid w:val="00AC4E3F"/>
    <w:rsid w:val="00AC59A9"/>
    <w:rsid w:val="00AC5A93"/>
    <w:rsid w:val="00AD0721"/>
    <w:rsid w:val="00AD25CA"/>
    <w:rsid w:val="00AD3D87"/>
    <w:rsid w:val="00AD4613"/>
    <w:rsid w:val="00AE19C6"/>
    <w:rsid w:val="00AE1DF5"/>
    <w:rsid w:val="00AE28C5"/>
    <w:rsid w:val="00AF26E2"/>
    <w:rsid w:val="00AF2F90"/>
    <w:rsid w:val="00AF4D67"/>
    <w:rsid w:val="00AF50DA"/>
    <w:rsid w:val="00AF76CC"/>
    <w:rsid w:val="00AF792D"/>
    <w:rsid w:val="00B04373"/>
    <w:rsid w:val="00B058E7"/>
    <w:rsid w:val="00B10CC8"/>
    <w:rsid w:val="00B10D74"/>
    <w:rsid w:val="00B1253E"/>
    <w:rsid w:val="00B1255A"/>
    <w:rsid w:val="00B1420C"/>
    <w:rsid w:val="00B16B59"/>
    <w:rsid w:val="00B2092A"/>
    <w:rsid w:val="00B20F11"/>
    <w:rsid w:val="00B238CB"/>
    <w:rsid w:val="00B23F10"/>
    <w:rsid w:val="00B26FC1"/>
    <w:rsid w:val="00B27D1B"/>
    <w:rsid w:val="00B33482"/>
    <w:rsid w:val="00B3466F"/>
    <w:rsid w:val="00B36AC6"/>
    <w:rsid w:val="00B373FD"/>
    <w:rsid w:val="00B41324"/>
    <w:rsid w:val="00B416F6"/>
    <w:rsid w:val="00B42375"/>
    <w:rsid w:val="00B42C50"/>
    <w:rsid w:val="00B454B6"/>
    <w:rsid w:val="00B45C2F"/>
    <w:rsid w:val="00B53347"/>
    <w:rsid w:val="00B533E6"/>
    <w:rsid w:val="00B57CD8"/>
    <w:rsid w:val="00B6298F"/>
    <w:rsid w:val="00B631E0"/>
    <w:rsid w:val="00B670C0"/>
    <w:rsid w:val="00B67883"/>
    <w:rsid w:val="00B7080F"/>
    <w:rsid w:val="00B716C1"/>
    <w:rsid w:val="00B741E4"/>
    <w:rsid w:val="00B769FB"/>
    <w:rsid w:val="00B8093A"/>
    <w:rsid w:val="00B80D38"/>
    <w:rsid w:val="00B90FEF"/>
    <w:rsid w:val="00B93D9D"/>
    <w:rsid w:val="00BA2474"/>
    <w:rsid w:val="00BA70BE"/>
    <w:rsid w:val="00BB0E0A"/>
    <w:rsid w:val="00BB2305"/>
    <w:rsid w:val="00BB583E"/>
    <w:rsid w:val="00BB7517"/>
    <w:rsid w:val="00BC0C71"/>
    <w:rsid w:val="00BC0D21"/>
    <w:rsid w:val="00BC1599"/>
    <w:rsid w:val="00BC5BDA"/>
    <w:rsid w:val="00BD0617"/>
    <w:rsid w:val="00BD0A9E"/>
    <w:rsid w:val="00BD1468"/>
    <w:rsid w:val="00BD239A"/>
    <w:rsid w:val="00BD72A0"/>
    <w:rsid w:val="00BE01D2"/>
    <w:rsid w:val="00BE1435"/>
    <w:rsid w:val="00BE6025"/>
    <w:rsid w:val="00BE6189"/>
    <w:rsid w:val="00BE6F0C"/>
    <w:rsid w:val="00BF03F7"/>
    <w:rsid w:val="00BF0D11"/>
    <w:rsid w:val="00BF2633"/>
    <w:rsid w:val="00BF57FD"/>
    <w:rsid w:val="00BF62A0"/>
    <w:rsid w:val="00C002DF"/>
    <w:rsid w:val="00C04D86"/>
    <w:rsid w:val="00C05B26"/>
    <w:rsid w:val="00C07EB4"/>
    <w:rsid w:val="00C12A75"/>
    <w:rsid w:val="00C12ECF"/>
    <w:rsid w:val="00C15614"/>
    <w:rsid w:val="00C1599A"/>
    <w:rsid w:val="00C15B95"/>
    <w:rsid w:val="00C17E5E"/>
    <w:rsid w:val="00C22E14"/>
    <w:rsid w:val="00C22E77"/>
    <w:rsid w:val="00C2494E"/>
    <w:rsid w:val="00C264A1"/>
    <w:rsid w:val="00C30AD7"/>
    <w:rsid w:val="00C30B27"/>
    <w:rsid w:val="00C31731"/>
    <w:rsid w:val="00C32820"/>
    <w:rsid w:val="00C3717B"/>
    <w:rsid w:val="00C3760B"/>
    <w:rsid w:val="00C40A56"/>
    <w:rsid w:val="00C41751"/>
    <w:rsid w:val="00C41B53"/>
    <w:rsid w:val="00C45929"/>
    <w:rsid w:val="00C45B11"/>
    <w:rsid w:val="00C46A9B"/>
    <w:rsid w:val="00C47519"/>
    <w:rsid w:val="00C47F69"/>
    <w:rsid w:val="00C5178F"/>
    <w:rsid w:val="00C5306E"/>
    <w:rsid w:val="00C534EC"/>
    <w:rsid w:val="00C554B0"/>
    <w:rsid w:val="00C56DC2"/>
    <w:rsid w:val="00C571BB"/>
    <w:rsid w:val="00C62746"/>
    <w:rsid w:val="00C70B21"/>
    <w:rsid w:val="00C71458"/>
    <w:rsid w:val="00C74389"/>
    <w:rsid w:val="00C77142"/>
    <w:rsid w:val="00C8147B"/>
    <w:rsid w:val="00C8461C"/>
    <w:rsid w:val="00C85749"/>
    <w:rsid w:val="00C85F78"/>
    <w:rsid w:val="00C876B1"/>
    <w:rsid w:val="00C929C6"/>
    <w:rsid w:val="00C9521D"/>
    <w:rsid w:val="00C96B16"/>
    <w:rsid w:val="00C96BBA"/>
    <w:rsid w:val="00C97B2E"/>
    <w:rsid w:val="00CA111A"/>
    <w:rsid w:val="00CA1C0F"/>
    <w:rsid w:val="00CA272E"/>
    <w:rsid w:val="00CA49E5"/>
    <w:rsid w:val="00CA5DCF"/>
    <w:rsid w:val="00CA79CC"/>
    <w:rsid w:val="00CB1743"/>
    <w:rsid w:val="00CB3DA5"/>
    <w:rsid w:val="00CB7400"/>
    <w:rsid w:val="00CC0388"/>
    <w:rsid w:val="00CC05EC"/>
    <w:rsid w:val="00CC1C38"/>
    <w:rsid w:val="00CC1F23"/>
    <w:rsid w:val="00CC2E7B"/>
    <w:rsid w:val="00CC42F4"/>
    <w:rsid w:val="00CD5BCF"/>
    <w:rsid w:val="00CD7225"/>
    <w:rsid w:val="00CE2D60"/>
    <w:rsid w:val="00CE332A"/>
    <w:rsid w:val="00CE3D10"/>
    <w:rsid w:val="00CE4270"/>
    <w:rsid w:val="00CE4889"/>
    <w:rsid w:val="00CE6712"/>
    <w:rsid w:val="00CE6B83"/>
    <w:rsid w:val="00CE7B27"/>
    <w:rsid w:val="00CF0358"/>
    <w:rsid w:val="00CF1715"/>
    <w:rsid w:val="00CF30A7"/>
    <w:rsid w:val="00CF3677"/>
    <w:rsid w:val="00CF462E"/>
    <w:rsid w:val="00D05D29"/>
    <w:rsid w:val="00D079E7"/>
    <w:rsid w:val="00D1061F"/>
    <w:rsid w:val="00D11BBB"/>
    <w:rsid w:val="00D123D2"/>
    <w:rsid w:val="00D13813"/>
    <w:rsid w:val="00D13E96"/>
    <w:rsid w:val="00D1475F"/>
    <w:rsid w:val="00D2462D"/>
    <w:rsid w:val="00D31031"/>
    <w:rsid w:val="00D32E8B"/>
    <w:rsid w:val="00D43BF3"/>
    <w:rsid w:val="00D551F6"/>
    <w:rsid w:val="00D5589A"/>
    <w:rsid w:val="00D57240"/>
    <w:rsid w:val="00D57841"/>
    <w:rsid w:val="00D62D72"/>
    <w:rsid w:val="00D630F2"/>
    <w:rsid w:val="00D65DF0"/>
    <w:rsid w:val="00D67AC7"/>
    <w:rsid w:val="00D705CA"/>
    <w:rsid w:val="00D709A2"/>
    <w:rsid w:val="00D80BEB"/>
    <w:rsid w:val="00D82BAD"/>
    <w:rsid w:val="00D849AD"/>
    <w:rsid w:val="00D84DE9"/>
    <w:rsid w:val="00D86E89"/>
    <w:rsid w:val="00D94E40"/>
    <w:rsid w:val="00D9792D"/>
    <w:rsid w:val="00D97CB8"/>
    <w:rsid w:val="00DA04D2"/>
    <w:rsid w:val="00DA180C"/>
    <w:rsid w:val="00DA2057"/>
    <w:rsid w:val="00DA52F2"/>
    <w:rsid w:val="00DA623A"/>
    <w:rsid w:val="00DB1053"/>
    <w:rsid w:val="00DB216C"/>
    <w:rsid w:val="00DB3E7B"/>
    <w:rsid w:val="00DB74AF"/>
    <w:rsid w:val="00DC1591"/>
    <w:rsid w:val="00DC1860"/>
    <w:rsid w:val="00DC3607"/>
    <w:rsid w:val="00DC56E1"/>
    <w:rsid w:val="00DC61E6"/>
    <w:rsid w:val="00DD0344"/>
    <w:rsid w:val="00DD1A1E"/>
    <w:rsid w:val="00DD2B10"/>
    <w:rsid w:val="00DD7DB2"/>
    <w:rsid w:val="00DE0625"/>
    <w:rsid w:val="00DE1131"/>
    <w:rsid w:val="00DE5313"/>
    <w:rsid w:val="00DF1EB2"/>
    <w:rsid w:val="00DF2C39"/>
    <w:rsid w:val="00DF3EAB"/>
    <w:rsid w:val="00DF410A"/>
    <w:rsid w:val="00DF491F"/>
    <w:rsid w:val="00DF4C82"/>
    <w:rsid w:val="00DF649C"/>
    <w:rsid w:val="00DF70E0"/>
    <w:rsid w:val="00DF7401"/>
    <w:rsid w:val="00E02F79"/>
    <w:rsid w:val="00E07289"/>
    <w:rsid w:val="00E109CC"/>
    <w:rsid w:val="00E13931"/>
    <w:rsid w:val="00E13B68"/>
    <w:rsid w:val="00E14AC3"/>
    <w:rsid w:val="00E15ACF"/>
    <w:rsid w:val="00E25920"/>
    <w:rsid w:val="00E36C66"/>
    <w:rsid w:val="00E36C79"/>
    <w:rsid w:val="00E37DC2"/>
    <w:rsid w:val="00E43256"/>
    <w:rsid w:val="00E443A6"/>
    <w:rsid w:val="00E47942"/>
    <w:rsid w:val="00E51A8F"/>
    <w:rsid w:val="00E5453D"/>
    <w:rsid w:val="00E6186F"/>
    <w:rsid w:val="00E65961"/>
    <w:rsid w:val="00E66D7E"/>
    <w:rsid w:val="00E7097D"/>
    <w:rsid w:val="00E8269D"/>
    <w:rsid w:val="00E90FC9"/>
    <w:rsid w:val="00E92A76"/>
    <w:rsid w:val="00E94C45"/>
    <w:rsid w:val="00EA25BB"/>
    <w:rsid w:val="00EA38F6"/>
    <w:rsid w:val="00EA4C0E"/>
    <w:rsid w:val="00EA61E2"/>
    <w:rsid w:val="00EB1474"/>
    <w:rsid w:val="00EB264C"/>
    <w:rsid w:val="00EB2EC5"/>
    <w:rsid w:val="00EB50C4"/>
    <w:rsid w:val="00EB63E8"/>
    <w:rsid w:val="00EC09F6"/>
    <w:rsid w:val="00EC246A"/>
    <w:rsid w:val="00EC3BE2"/>
    <w:rsid w:val="00EC79DD"/>
    <w:rsid w:val="00ED3E0A"/>
    <w:rsid w:val="00ED43C3"/>
    <w:rsid w:val="00ED7B9A"/>
    <w:rsid w:val="00ED7D8C"/>
    <w:rsid w:val="00EE2D3E"/>
    <w:rsid w:val="00EE470D"/>
    <w:rsid w:val="00EE5E21"/>
    <w:rsid w:val="00EE7644"/>
    <w:rsid w:val="00EF45C4"/>
    <w:rsid w:val="00EF492F"/>
    <w:rsid w:val="00EF5F1D"/>
    <w:rsid w:val="00F0006B"/>
    <w:rsid w:val="00F01F36"/>
    <w:rsid w:val="00F01F4B"/>
    <w:rsid w:val="00F044FF"/>
    <w:rsid w:val="00F068F2"/>
    <w:rsid w:val="00F06F0B"/>
    <w:rsid w:val="00F07DB1"/>
    <w:rsid w:val="00F14843"/>
    <w:rsid w:val="00F200AA"/>
    <w:rsid w:val="00F20BAE"/>
    <w:rsid w:val="00F217AC"/>
    <w:rsid w:val="00F264CB"/>
    <w:rsid w:val="00F30C7E"/>
    <w:rsid w:val="00F30DF2"/>
    <w:rsid w:val="00F3267A"/>
    <w:rsid w:val="00F33CD9"/>
    <w:rsid w:val="00F42CBB"/>
    <w:rsid w:val="00F4405B"/>
    <w:rsid w:val="00F44A9D"/>
    <w:rsid w:val="00F466BA"/>
    <w:rsid w:val="00F5245F"/>
    <w:rsid w:val="00F556E2"/>
    <w:rsid w:val="00F56CA7"/>
    <w:rsid w:val="00F60C58"/>
    <w:rsid w:val="00F63525"/>
    <w:rsid w:val="00F649DB"/>
    <w:rsid w:val="00F67FE6"/>
    <w:rsid w:val="00F71F65"/>
    <w:rsid w:val="00F723C8"/>
    <w:rsid w:val="00F74358"/>
    <w:rsid w:val="00F776E2"/>
    <w:rsid w:val="00F81086"/>
    <w:rsid w:val="00F81595"/>
    <w:rsid w:val="00F831F1"/>
    <w:rsid w:val="00F90652"/>
    <w:rsid w:val="00F9101F"/>
    <w:rsid w:val="00F923A6"/>
    <w:rsid w:val="00F92D26"/>
    <w:rsid w:val="00F93A73"/>
    <w:rsid w:val="00FA3007"/>
    <w:rsid w:val="00FA3E52"/>
    <w:rsid w:val="00FA468C"/>
    <w:rsid w:val="00FA71E2"/>
    <w:rsid w:val="00FB44F1"/>
    <w:rsid w:val="00FB6BDA"/>
    <w:rsid w:val="00FC0C9E"/>
    <w:rsid w:val="00FC13B3"/>
    <w:rsid w:val="00FC1786"/>
    <w:rsid w:val="00FC3081"/>
    <w:rsid w:val="00FC56A9"/>
    <w:rsid w:val="00FC735F"/>
    <w:rsid w:val="00FC7F19"/>
    <w:rsid w:val="00FD08EB"/>
    <w:rsid w:val="00FD1A7F"/>
    <w:rsid w:val="00FD29DB"/>
    <w:rsid w:val="00FD448E"/>
    <w:rsid w:val="00FD52D6"/>
    <w:rsid w:val="00FE2472"/>
    <w:rsid w:val="00FE30F7"/>
    <w:rsid w:val="00FE354C"/>
    <w:rsid w:val="00FE356F"/>
    <w:rsid w:val="00FE3D7A"/>
    <w:rsid w:val="00FE5DF6"/>
    <w:rsid w:val="00FE6478"/>
    <w:rsid w:val="00FE6AC1"/>
    <w:rsid w:val="00FF2AB3"/>
    <w:rsid w:val="00FF471E"/>
    <w:rsid w:val="00FF4AE2"/>
    <w:rsid w:val="00FF57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F6"/>
    <w:pPr>
      <w:spacing w:before="240" w:line="276" w:lineRule="auto"/>
      <w:jc w:val="both"/>
    </w:pPr>
    <w:rPr>
      <w:rFonts w:ascii="Arial" w:hAnsi="Arial" w:cs="Calibri"/>
      <w:sz w:val="22"/>
      <w:szCs w:val="22"/>
      <w:lang w:eastAsia="en-US"/>
    </w:rPr>
  </w:style>
  <w:style w:type="paragraph" w:styleId="1">
    <w:name w:val="heading 1"/>
    <w:basedOn w:val="a0"/>
    <w:next w:val="a"/>
    <w:link w:val="1Char"/>
    <w:uiPriority w:val="99"/>
    <w:qFormat/>
    <w:rsid w:val="00D551F6"/>
    <w:pPr>
      <w:keepNext/>
      <w:spacing w:before="480" w:after="120" w:line="276" w:lineRule="auto"/>
      <w:contextualSpacing/>
    </w:pPr>
    <w:rPr>
      <w:sz w:val="22"/>
      <w:szCs w:val="22"/>
    </w:rPr>
  </w:style>
  <w:style w:type="paragraph" w:styleId="2">
    <w:name w:val="heading 2"/>
    <w:basedOn w:val="a"/>
    <w:next w:val="a"/>
    <w:link w:val="2Char"/>
    <w:uiPriority w:val="99"/>
    <w:qFormat/>
    <w:locked/>
    <w:rsid w:val="002C31F3"/>
    <w:pPr>
      <w:keepNext/>
      <w:spacing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9"/>
    <w:qFormat/>
    <w:locked/>
    <w:rsid w:val="002C31F3"/>
    <w:pPr>
      <w:keepNext/>
      <w:spacing w:after="60"/>
      <w:outlineLvl w:val="2"/>
    </w:pPr>
    <w:rPr>
      <w:rFonts w:ascii="Cambria" w:eastAsia="Times New Roman" w:hAnsi="Cambria" w:cs="Times New Roman"/>
      <w:b/>
      <w:bCs/>
      <w:sz w:val="26"/>
      <w:szCs w:val="26"/>
    </w:rPr>
  </w:style>
  <w:style w:type="paragraph" w:styleId="6">
    <w:name w:val="heading 6"/>
    <w:basedOn w:val="a"/>
    <w:next w:val="a"/>
    <w:link w:val="6Char"/>
    <w:uiPriority w:val="99"/>
    <w:qFormat/>
    <w:locked/>
    <w:rsid w:val="00D551F6"/>
    <w:pPr>
      <w:keepNext/>
      <w:keepLines/>
      <w:spacing w:before="200"/>
      <w:outlineLvl w:val="5"/>
    </w:pPr>
    <w:rPr>
      <w:rFonts w:ascii="Cambria" w:eastAsia="Times New Roman" w:hAnsi="Cambria" w:cs="Cambria"/>
      <w:i/>
      <w:iCs/>
      <w:color w:val="243F60"/>
    </w:rPr>
  </w:style>
  <w:style w:type="paragraph" w:styleId="7">
    <w:name w:val="heading 7"/>
    <w:basedOn w:val="a"/>
    <w:next w:val="a"/>
    <w:link w:val="7Char"/>
    <w:uiPriority w:val="99"/>
    <w:qFormat/>
    <w:locked/>
    <w:rsid w:val="00D551F6"/>
    <w:pPr>
      <w:spacing w:after="60"/>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99"/>
    <w:qFormat/>
    <w:rsid w:val="00D551F6"/>
    <w:pPr>
      <w:spacing w:after="60" w:line="240" w:lineRule="auto"/>
      <w:jc w:val="center"/>
      <w:outlineLvl w:val="0"/>
    </w:pPr>
    <w:rPr>
      <w:rFonts w:eastAsia="Times New Roman"/>
      <w:b/>
      <w:bCs/>
      <w:kern w:val="28"/>
      <w:sz w:val="24"/>
      <w:szCs w:val="24"/>
    </w:rPr>
  </w:style>
  <w:style w:type="character" w:customStyle="1" w:styleId="Char">
    <w:name w:val="Τίτλος Char"/>
    <w:basedOn w:val="a1"/>
    <w:link w:val="a0"/>
    <w:uiPriority w:val="99"/>
    <w:locked/>
    <w:rsid w:val="00D551F6"/>
    <w:rPr>
      <w:rFonts w:ascii="Arial" w:hAnsi="Arial" w:cs="Calibri"/>
      <w:b/>
      <w:bCs/>
      <w:kern w:val="28"/>
      <w:sz w:val="24"/>
      <w:szCs w:val="24"/>
      <w:lang w:eastAsia="en-US"/>
    </w:rPr>
  </w:style>
  <w:style w:type="character" w:customStyle="1" w:styleId="1Char">
    <w:name w:val="Επικεφαλίδα 1 Char"/>
    <w:basedOn w:val="a1"/>
    <w:link w:val="1"/>
    <w:uiPriority w:val="99"/>
    <w:locked/>
    <w:rsid w:val="00D551F6"/>
    <w:rPr>
      <w:rFonts w:ascii="Arial" w:hAnsi="Arial" w:cs="Calibri"/>
      <w:b/>
      <w:bCs/>
      <w:kern w:val="28"/>
      <w:lang w:eastAsia="en-US"/>
    </w:rPr>
  </w:style>
  <w:style w:type="character" w:customStyle="1" w:styleId="2Char">
    <w:name w:val="Επικεφαλίδα 2 Char"/>
    <w:basedOn w:val="a1"/>
    <w:link w:val="2"/>
    <w:uiPriority w:val="99"/>
    <w:locked/>
    <w:rsid w:val="002C31F3"/>
    <w:rPr>
      <w:rFonts w:ascii="Cambria" w:hAnsi="Cambria" w:cs="Times New Roman"/>
      <w:b/>
      <w:bCs/>
      <w:i/>
      <w:iCs/>
      <w:sz w:val="28"/>
      <w:szCs w:val="28"/>
      <w:lang w:eastAsia="en-US"/>
    </w:rPr>
  </w:style>
  <w:style w:type="character" w:customStyle="1" w:styleId="3Char">
    <w:name w:val="Επικεφαλίδα 3 Char"/>
    <w:basedOn w:val="a1"/>
    <w:link w:val="3"/>
    <w:uiPriority w:val="99"/>
    <w:locked/>
    <w:rsid w:val="002C31F3"/>
    <w:rPr>
      <w:rFonts w:ascii="Cambria" w:hAnsi="Cambria" w:cs="Times New Roman"/>
      <w:b/>
      <w:bCs/>
      <w:sz w:val="26"/>
      <w:szCs w:val="26"/>
      <w:lang w:eastAsia="en-US"/>
    </w:rPr>
  </w:style>
  <w:style w:type="character" w:customStyle="1" w:styleId="6Char">
    <w:name w:val="Επικεφαλίδα 6 Char"/>
    <w:basedOn w:val="a1"/>
    <w:link w:val="6"/>
    <w:uiPriority w:val="99"/>
    <w:locked/>
    <w:rsid w:val="00D551F6"/>
    <w:rPr>
      <w:rFonts w:ascii="Cambria" w:hAnsi="Cambria" w:cs="Cambria"/>
      <w:i/>
      <w:iCs/>
      <w:color w:val="243F60"/>
      <w:lang w:eastAsia="en-US"/>
    </w:rPr>
  </w:style>
  <w:style w:type="character" w:customStyle="1" w:styleId="7Char">
    <w:name w:val="Επικεφαλίδα 7 Char"/>
    <w:basedOn w:val="a1"/>
    <w:link w:val="7"/>
    <w:uiPriority w:val="99"/>
    <w:locked/>
    <w:rsid w:val="00D551F6"/>
    <w:rPr>
      <w:rFonts w:eastAsia="Times New Roman" w:cs="Times New Roman"/>
      <w:sz w:val="24"/>
      <w:szCs w:val="24"/>
      <w:lang w:eastAsia="en-US"/>
    </w:rPr>
  </w:style>
  <w:style w:type="table" w:styleId="a4">
    <w:name w:val="Table Grid"/>
    <w:basedOn w:val="a2"/>
    <w:uiPriority w:val="99"/>
    <w:locked/>
    <w:rsid w:val="00CB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D551F6"/>
    <w:pPr>
      <w:spacing w:line="240" w:lineRule="auto"/>
    </w:pPr>
    <w:rPr>
      <w:rFonts w:ascii="Consolas" w:hAnsi="Consolas" w:cs="Consolas"/>
      <w:sz w:val="20"/>
      <w:szCs w:val="20"/>
    </w:rPr>
  </w:style>
  <w:style w:type="character" w:customStyle="1" w:styleId="-HTMLChar">
    <w:name w:val="Προ-διαμορφωμένο HTML Char"/>
    <w:basedOn w:val="a1"/>
    <w:link w:val="-HTML"/>
    <w:uiPriority w:val="99"/>
    <w:locked/>
    <w:rsid w:val="00D551F6"/>
    <w:rPr>
      <w:rFonts w:ascii="Consolas" w:hAnsi="Consolas" w:cs="Consolas"/>
      <w:sz w:val="20"/>
      <w:szCs w:val="20"/>
      <w:lang w:eastAsia="en-US"/>
    </w:rPr>
  </w:style>
  <w:style w:type="character" w:styleId="a5">
    <w:name w:val="annotation reference"/>
    <w:basedOn w:val="a1"/>
    <w:uiPriority w:val="99"/>
    <w:semiHidden/>
    <w:rsid w:val="00D551F6"/>
    <w:rPr>
      <w:rFonts w:cs="Times New Roman"/>
      <w:sz w:val="16"/>
      <w:szCs w:val="16"/>
    </w:rPr>
  </w:style>
  <w:style w:type="paragraph" w:styleId="a6">
    <w:name w:val="annotation text"/>
    <w:basedOn w:val="a"/>
    <w:link w:val="Char0"/>
    <w:uiPriority w:val="99"/>
    <w:semiHidden/>
    <w:rsid w:val="00D551F6"/>
    <w:pPr>
      <w:spacing w:line="240" w:lineRule="auto"/>
    </w:pPr>
    <w:rPr>
      <w:sz w:val="20"/>
      <w:szCs w:val="20"/>
      <w:lang w:eastAsia="el-GR"/>
    </w:rPr>
  </w:style>
  <w:style w:type="character" w:customStyle="1" w:styleId="Char0">
    <w:name w:val="Κείμενο σχολίου Char"/>
    <w:basedOn w:val="a1"/>
    <w:link w:val="a6"/>
    <w:uiPriority w:val="99"/>
    <w:semiHidden/>
    <w:locked/>
    <w:rsid w:val="00D551F6"/>
    <w:rPr>
      <w:rFonts w:ascii="Arial" w:hAnsi="Arial" w:cs="Calibri"/>
      <w:sz w:val="20"/>
      <w:szCs w:val="20"/>
    </w:rPr>
  </w:style>
  <w:style w:type="paragraph" w:styleId="a7">
    <w:name w:val="header"/>
    <w:basedOn w:val="a"/>
    <w:link w:val="Char1"/>
    <w:uiPriority w:val="99"/>
    <w:semiHidden/>
    <w:rsid w:val="00D551F6"/>
    <w:pPr>
      <w:tabs>
        <w:tab w:val="center" w:pos="4153"/>
        <w:tab w:val="right" w:pos="8306"/>
      </w:tabs>
    </w:pPr>
  </w:style>
  <w:style w:type="character" w:customStyle="1" w:styleId="Char1">
    <w:name w:val="Κεφαλίδα Char"/>
    <w:basedOn w:val="a1"/>
    <w:link w:val="a7"/>
    <w:uiPriority w:val="99"/>
    <w:semiHidden/>
    <w:locked/>
    <w:rsid w:val="00D551F6"/>
    <w:rPr>
      <w:rFonts w:ascii="Arial" w:hAnsi="Arial" w:cs="Calibri"/>
      <w:lang w:eastAsia="en-US"/>
    </w:rPr>
  </w:style>
  <w:style w:type="paragraph" w:styleId="a8">
    <w:name w:val="footer"/>
    <w:basedOn w:val="a"/>
    <w:link w:val="Char2"/>
    <w:uiPriority w:val="99"/>
    <w:rsid w:val="00D551F6"/>
    <w:pPr>
      <w:tabs>
        <w:tab w:val="center" w:pos="4153"/>
        <w:tab w:val="right" w:pos="8306"/>
      </w:tabs>
    </w:pPr>
  </w:style>
  <w:style w:type="character" w:customStyle="1" w:styleId="Char2">
    <w:name w:val="Υποσέλιδο Char"/>
    <w:basedOn w:val="a1"/>
    <w:link w:val="a8"/>
    <w:uiPriority w:val="99"/>
    <w:locked/>
    <w:rsid w:val="00D551F6"/>
    <w:rPr>
      <w:rFonts w:ascii="Arial" w:hAnsi="Arial" w:cs="Calibri"/>
      <w:lang w:eastAsia="en-US"/>
    </w:rPr>
  </w:style>
  <w:style w:type="paragraph" w:styleId="a9">
    <w:name w:val="Balloon Text"/>
    <w:basedOn w:val="a"/>
    <w:link w:val="Char3"/>
    <w:uiPriority w:val="99"/>
    <w:semiHidden/>
    <w:rsid w:val="00D551F6"/>
    <w:pPr>
      <w:spacing w:line="240" w:lineRule="auto"/>
    </w:pPr>
    <w:rPr>
      <w:rFonts w:ascii="Tahoma" w:hAnsi="Tahoma" w:cs="Tahoma"/>
      <w:sz w:val="16"/>
      <w:szCs w:val="16"/>
    </w:rPr>
  </w:style>
  <w:style w:type="character" w:customStyle="1" w:styleId="Char3">
    <w:name w:val="Κείμενο πλαισίου Char"/>
    <w:basedOn w:val="a1"/>
    <w:link w:val="a9"/>
    <w:uiPriority w:val="99"/>
    <w:semiHidden/>
    <w:locked/>
    <w:rsid w:val="00D551F6"/>
    <w:rPr>
      <w:rFonts w:ascii="Tahoma" w:hAnsi="Tahoma" w:cs="Tahoma"/>
      <w:sz w:val="16"/>
      <w:szCs w:val="16"/>
      <w:lang w:eastAsia="en-US"/>
    </w:rPr>
  </w:style>
  <w:style w:type="character" w:styleId="aa">
    <w:name w:val="Strong"/>
    <w:basedOn w:val="a1"/>
    <w:uiPriority w:val="99"/>
    <w:qFormat/>
    <w:rsid w:val="00D551F6"/>
    <w:rPr>
      <w:rFonts w:cs="Times New Roman"/>
      <w:b/>
      <w:bCs/>
    </w:rPr>
  </w:style>
  <w:style w:type="character" w:styleId="ab">
    <w:name w:val="Intense Emphasis"/>
    <w:basedOn w:val="a1"/>
    <w:uiPriority w:val="99"/>
    <w:qFormat/>
    <w:rsid w:val="00D551F6"/>
    <w:rPr>
      <w:rFonts w:cs="Times New Roman"/>
      <w:b/>
      <w:bCs/>
      <w:i/>
      <w:iCs/>
      <w:color w:val="4F81BD"/>
    </w:rPr>
  </w:style>
  <w:style w:type="paragraph" w:styleId="ac">
    <w:name w:val="Subtitle"/>
    <w:basedOn w:val="a"/>
    <w:next w:val="a"/>
    <w:link w:val="Char4"/>
    <w:uiPriority w:val="99"/>
    <w:qFormat/>
    <w:rsid w:val="00D551F6"/>
    <w:pPr>
      <w:numPr>
        <w:ilvl w:val="1"/>
      </w:numPr>
    </w:pPr>
    <w:rPr>
      <w:rFonts w:ascii="Cambria" w:eastAsia="Times New Roman" w:hAnsi="Cambria" w:cs="Cambria"/>
      <w:i/>
      <w:iCs/>
      <w:color w:val="4F81BD"/>
      <w:spacing w:val="15"/>
      <w:sz w:val="24"/>
      <w:szCs w:val="24"/>
    </w:rPr>
  </w:style>
  <w:style w:type="character" w:customStyle="1" w:styleId="Char4">
    <w:name w:val="Υπότιτλος Char"/>
    <w:basedOn w:val="a1"/>
    <w:link w:val="ac"/>
    <w:uiPriority w:val="99"/>
    <w:locked/>
    <w:rsid w:val="00D551F6"/>
    <w:rPr>
      <w:rFonts w:ascii="Cambria" w:hAnsi="Cambria" w:cs="Cambria"/>
      <w:i/>
      <w:iCs/>
      <w:color w:val="4F81BD"/>
      <w:spacing w:val="15"/>
      <w:sz w:val="24"/>
      <w:szCs w:val="24"/>
      <w:lang w:eastAsia="en-US"/>
    </w:rPr>
  </w:style>
  <w:style w:type="paragraph" w:styleId="ad">
    <w:name w:val="Revision"/>
    <w:hidden/>
    <w:uiPriority w:val="99"/>
    <w:semiHidden/>
    <w:rsid w:val="00210D90"/>
    <w:rPr>
      <w:rFonts w:cs="Calibri"/>
      <w:sz w:val="22"/>
      <w:szCs w:val="22"/>
      <w:lang w:eastAsia="en-US"/>
    </w:rPr>
  </w:style>
  <w:style w:type="paragraph" w:styleId="ae">
    <w:name w:val="annotation subject"/>
    <w:basedOn w:val="a6"/>
    <w:next w:val="a6"/>
    <w:link w:val="Char5"/>
    <w:uiPriority w:val="99"/>
    <w:semiHidden/>
    <w:rsid w:val="00D551F6"/>
    <w:rPr>
      <w:b/>
      <w:bCs/>
      <w:lang w:eastAsia="en-US"/>
    </w:rPr>
  </w:style>
  <w:style w:type="character" w:customStyle="1" w:styleId="Char5">
    <w:name w:val="Θέμα σχολίου Char"/>
    <w:basedOn w:val="Char0"/>
    <w:link w:val="ae"/>
    <w:uiPriority w:val="99"/>
    <w:semiHidden/>
    <w:locked/>
    <w:rsid w:val="00D551F6"/>
    <w:rPr>
      <w:rFonts w:ascii="Arial" w:hAnsi="Arial" w:cs="Calibri"/>
      <w:b/>
      <w:bCs/>
      <w:sz w:val="20"/>
      <w:szCs w:val="20"/>
      <w:lang w:eastAsia="en-US"/>
    </w:rPr>
  </w:style>
  <w:style w:type="paragraph" w:customStyle="1" w:styleId="af">
    <w:name w:val="Τροποποιούμενη διάταξη"/>
    <w:basedOn w:val="a"/>
    <w:uiPriority w:val="99"/>
    <w:rsid w:val="006C01DA"/>
    <w:pPr>
      <w:spacing w:before="120"/>
      <w:ind w:left="425"/>
      <w:contextualSpacing/>
    </w:pPr>
    <w:rPr>
      <w:i/>
      <w:iCs/>
    </w:rPr>
  </w:style>
  <w:style w:type="paragraph" w:styleId="af0">
    <w:name w:val="List Paragraph"/>
    <w:basedOn w:val="a"/>
    <w:uiPriority w:val="99"/>
    <w:qFormat/>
    <w:rsid w:val="00D551F6"/>
    <w:pPr>
      <w:spacing w:before="0" w:after="200"/>
      <w:ind w:left="720"/>
      <w:jc w:val="left"/>
    </w:pPr>
  </w:style>
  <w:style w:type="character" w:customStyle="1" w:styleId="10">
    <w:name w:val="Έντονη έμφαση1"/>
    <w:basedOn w:val="a1"/>
    <w:uiPriority w:val="99"/>
    <w:rsid w:val="00D551F6"/>
    <w:rPr>
      <w:rFonts w:cs="Times New Roman"/>
      <w:b/>
      <w:bCs/>
      <w:i/>
      <w:iCs/>
      <w:color w:val="4F81BD"/>
    </w:rPr>
  </w:style>
  <w:style w:type="paragraph" w:customStyle="1" w:styleId="AOGenNum3">
    <w:name w:val="AOGenNum3"/>
    <w:basedOn w:val="a"/>
    <w:next w:val="AOGenNum3List"/>
    <w:rsid w:val="00464D3B"/>
    <w:pPr>
      <w:numPr>
        <w:numId w:val="15"/>
      </w:numPr>
      <w:spacing w:line="260" w:lineRule="atLeast"/>
    </w:pPr>
    <w:rPr>
      <w:rFonts w:ascii="Times New Roman" w:eastAsia="SimSun" w:hAnsi="Times New Roman" w:cs="Times New Roman"/>
      <w:lang w:val="en-GB"/>
    </w:rPr>
  </w:style>
  <w:style w:type="paragraph" w:customStyle="1" w:styleId="AOGenNum3List">
    <w:name w:val="AOGenNum3List"/>
    <w:basedOn w:val="AOGenNum3"/>
    <w:rsid w:val="00464D3B"/>
    <w:pPr>
      <w:numPr>
        <w:ilvl w:val="1"/>
      </w:numPr>
    </w:pPr>
  </w:style>
  <w:style w:type="character" w:customStyle="1" w:styleId="z-Char">
    <w:name w:val="z-Αρχή φόρμας Char"/>
    <w:basedOn w:val="a1"/>
    <w:link w:val="z-"/>
    <w:uiPriority w:val="99"/>
    <w:semiHidden/>
    <w:rsid w:val="00FF2AB3"/>
    <w:rPr>
      <w:rFonts w:ascii="Arial" w:eastAsia="Times New Roman" w:hAnsi="Arial" w:cs="Arial"/>
      <w:vanish/>
      <w:sz w:val="16"/>
      <w:szCs w:val="16"/>
    </w:rPr>
  </w:style>
  <w:style w:type="paragraph" w:styleId="z-">
    <w:name w:val="HTML Top of Form"/>
    <w:basedOn w:val="a"/>
    <w:next w:val="a"/>
    <w:link w:val="z-Char"/>
    <w:hidden/>
    <w:uiPriority w:val="99"/>
    <w:semiHidden/>
    <w:rsid w:val="00FF2AB3"/>
    <w:pPr>
      <w:pBdr>
        <w:bottom w:val="single" w:sz="6" w:space="1" w:color="auto"/>
      </w:pBdr>
      <w:spacing w:before="0" w:line="240" w:lineRule="auto"/>
      <w:jc w:val="center"/>
    </w:pPr>
    <w:rPr>
      <w:rFonts w:eastAsia="Times New Roman" w:cs="Arial"/>
      <w:vanish/>
      <w:sz w:val="16"/>
      <w:szCs w:val="16"/>
      <w:lang w:eastAsia="el-GR"/>
    </w:rPr>
  </w:style>
  <w:style w:type="character" w:customStyle="1" w:styleId="st-stp1-text1">
    <w:name w:val="st-stp1-text1"/>
    <w:basedOn w:val="a1"/>
    <w:uiPriority w:val="99"/>
    <w:rsid w:val="00FF2AB3"/>
    <w:rPr>
      <w:rFonts w:cs="Times New Roman"/>
      <w:color w:val="222222"/>
    </w:rPr>
  </w:style>
  <w:style w:type="character" w:customStyle="1" w:styleId="jfk-butterbar1">
    <w:name w:val="jfk-butterbar1"/>
    <w:basedOn w:val="a1"/>
    <w:uiPriority w:val="99"/>
    <w:rsid w:val="00FF2AB3"/>
    <w:rPr>
      <w:rFonts w:cs="Times New Roman"/>
      <w:sz w:val="15"/>
      <w:szCs w:val="15"/>
      <w:bdr w:val="single" w:sz="2" w:space="0" w:color="auto" w:frame="1"/>
    </w:rPr>
  </w:style>
  <w:style w:type="character" w:customStyle="1" w:styleId="gt-ft-text1">
    <w:name w:val="gt-ft-text1"/>
    <w:basedOn w:val="a1"/>
    <w:uiPriority w:val="99"/>
    <w:rsid w:val="00FF2AB3"/>
    <w:rPr>
      <w:rFonts w:cs="Times New Roman"/>
    </w:rPr>
  </w:style>
  <w:style w:type="character" w:customStyle="1" w:styleId="z-Char0">
    <w:name w:val="z-Τέλος φόρμας Char"/>
    <w:basedOn w:val="a1"/>
    <w:link w:val="z-0"/>
    <w:uiPriority w:val="99"/>
    <w:semiHidden/>
    <w:rsid w:val="00FF2AB3"/>
    <w:rPr>
      <w:rFonts w:ascii="Arial" w:eastAsia="Times New Roman" w:hAnsi="Arial" w:cs="Arial"/>
      <w:vanish/>
      <w:sz w:val="16"/>
      <w:szCs w:val="16"/>
    </w:rPr>
  </w:style>
  <w:style w:type="paragraph" w:styleId="z-0">
    <w:name w:val="HTML Bottom of Form"/>
    <w:basedOn w:val="a"/>
    <w:next w:val="a"/>
    <w:link w:val="z-Char0"/>
    <w:hidden/>
    <w:uiPriority w:val="99"/>
    <w:semiHidden/>
    <w:rsid w:val="00FF2AB3"/>
    <w:pPr>
      <w:pBdr>
        <w:top w:val="single" w:sz="6" w:space="1" w:color="auto"/>
      </w:pBdr>
      <w:spacing w:before="0" w:line="240" w:lineRule="auto"/>
      <w:jc w:val="center"/>
    </w:pPr>
    <w:rPr>
      <w:rFonts w:eastAsia="Times New Roman" w:cs="Arial"/>
      <w:vanish/>
      <w:sz w:val="16"/>
      <w:szCs w:val="16"/>
      <w:lang w:eastAsia="el-GR"/>
    </w:rPr>
  </w:style>
  <w:style w:type="character" w:customStyle="1" w:styleId="ita-kd-menuitem-inputtool-name1">
    <w:name w:val="ita-kd-menuitem-inputtool-name1"/>
    <w:basedOn w:val="a1"/>
    <w:uiPriority w:val="99"/>
    <w:rsid w:val="00FF2AB3"/>
    <w:rPr>
      <w:rFonts w:cs="Times New Roman"/>
    </w:rPr>
  </w:style>
  <w:style w:type="character" w:customStyle="1" w:styleId="ita-kd-menuitem-setting1">
    <w:name w:val="ita-kd-menuitem-setting1"/>
    <w:basedOn w:val="a1"/>
    <w:uiPriority w:val="99"/>
    <w:rsid w:val="00FF2AB3"/>
    <w:rPr>
      <w:rFonts w:cs="Times New Roman"/>
    </w:rPr>
  </w:style>
  <w:style w:type="character" w:customStyle="1" w:styleId="st1">
    <w:name w:val="st1"/>
    <w:basedOn w:val="a1"/>
    <w:rsid w:val="00FF2AB3"/>
  </w:style>
  <w:style w:type="paragraph" w:styleId="af1">
    <w:name w:val="No Spacing"/>
    <w:uiPriority w:val="1"/>
    <w:qFormat/>
    <w:rsid w:val="00FF2AB3"/>
    <w:pPr>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F6"/>
    <w:pPr>
      <w:spacing w:before="240" w:line="276" w:lineRule="auto"/>
      <w:jc w:val="both"/>
    </w:pPr>
    <w:rPr>
      <w:rFonts w:ascii="Arial" w:hAnsi="Arial" w:cs="Calibri"/>
      <w:sz w:val="22"/>
      <w:szCs w:val="22"/>
      <w:lang w:eastAsia="en-US"/>
    </w:rPr>
  </w:style>
  <w:style w:type="paragraph" w:styleId="1">
    <w:name w:val="heading 1"/>
    <w:basedOn w:val="a0"/>
    <w:next w:val="a"/>
    <w:link w:val="1Char"/>
    <w:uiPriority w:val="99"/>
    <w:qFormat/>
    <w:rsid w:val="00D551F6"/>
    <w:pPr>
      <w:keepNext/>
      <w:spacing w:before="480" w:after="120" w:line="276" w:lineRule="auto"/>
      <w:contextualSpacing/>
    </w:pPr>
    <w:rPr>
      <w:sz w:val="22"/>
      <w:szCs w:val="22"/>
    </w:rPr>
  </w:style>
  <w:style w:type="paragraph" w:styleId="2">
    <w:name w:val="heading 2"/>
    <w:basedOn w:val="a"/>
    <w:next w:val="a"/>
    <w:link w:val="2Char"/>
    <w:uiPriority w:val="99"/>
    <w:qFormat/>
    <w:locked/>
    <w:rsid w:val="002C31F3"/>
    <w:pPr>
      <w:keepNext/>
      <w:spacing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9"/>
    <w:qFormat/>
    <w:locked/>
    <w:rsid w:val="002C31F3"/>
    <w:pPr>
      <w:keepNext/>
      <w:spacing w:after="60"/>
      <w:outlineLvl w:val="2"/>
    </w:pPr>
    <w:rPr>
      <w:rFonts w:ascii="Cambria" w:eastAsia="Times New Roman" w:hAnsi="Cambria" w:cs="Times New Roman"/>
      <w:b/>
      <w:bCs/>
      <w:sz w:val="26"/>
      <w:szCs w:val="26"/>
    </w:rPr>
  </w:style>
  <w:style w:type="paragraph" w:styleId="6">
    <w:name w:val="heading 6"/>
    <w:basedOn w:val="a"/>
    <w:next w:val="a"/>
    <w:link w:val="6Char"/>
    <w:uiPriority w:val="99"/>
    <w:qFormat/>
    <w:locked/>
    <w:rsid w:val="00D551F6"/>
    <w:pPr>
      <w:keepNext/>
      <w:keepLines/>
      <w:spacing w:before="200"/>
      <w:outlineLvl w:val="5"/>
    </w:pPr>
    <w:rPr>
      <w:rFonts w:ascii="Cambria" w:eastAsia="Times New Roman" w:hAnsi="Cambria" w:cs="Cambria"/>
      <w:i/>
      <w:iCs/>
      <w:color w:val="243F60"/>
    </w:rPr>
  </w:style>
  <w:style w:type="paragraph" w:styleId="7">
    <w:name w:val="heading 7"/>
    <w:basedOn w:val="a"/>
    <w:next w:val="a"/>
    <w:link w:val="7Char"/>
    <w:uiPriority w:val="99"/>
    <w:qFormat/>
    <w:locked/>
    <w:rsid w:val="00D551F6"/>
    <w:pPr>
      <w:spacing w:after="60"/>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99"/>
    <w:qFormat/>
    <w:rsid w:val="00D551F6"/>
    <w:pPr>
      <w:spacing w:after="60" w:line="240" w:lineRule="auto"/>
      <w:jc w:val="center"/>
      <w:outlineLvl w:val="0"/>
    </w:pPr>
    <w:rPr>
      <w:rFonts w:eastAsia="Times New Roman"/>
      <w:b/>
      <w:bCs/>
      <w:kern w:val="28"/>
      <w:sz w:val="24"/>
      <w:szCs w:val="24"/>
    </w:rPr>
  </w:style>
  <w:style w:type="character" w:customStyle="1" w:styleId="Char">
    <w:name w:val="Τίτλος Char"/>
    <w:basedOn w:val="a1"/>
    <w:link w:val="a0"/>
    <w:uiPriority w:val="99"/>
    <w:locked/>
    <w:rsid w:val="00D551F6"/>
    <w:rPr>
      <w:rFonts w:ascii="Arial" w:hAnsi="Arial" w:cs="Calibri"/>
      <w:b/>
      <w:bCs/>
      <w:kern w:val="28"/>
      <w:sz w:val="24"/>
      <w:szCs w:val="24"/>
      <w:lang w:eastAsia="en-US"/>
    </w:rPr>
  </w:style>
  <w:style w:type="character" w:customStyle="1" w:styleId="1Char">
    <w:name w:val="Επικεφαλίδα 1 Char"/>
    <w:basedOn w:val="a1"/>
    <w:link w:val="1"/>
    <w:uiPriority w:val="99"/>
    <w:locked/>
    <w:rsid w:val="00D551F6"/>
    <w:rPr>
      <w:rFonts w:ascii="Arial" w:hAnsi="Arial" w:cs="Calibri"/>
      <w:b/>
      <w:bCs/>
      <w:kern w:val="28"/>
      <w:lang w:eastAsia="en-US"/>
    </w:rPr>
  </w:style>
  <w:style w:type="character" w:customStyle="1" w:styleId="2Char">
    <w:name w:val="Επικεφαλίδα 2 Char"/>
    <w:basedOn w:val="a1"/>
    <w:link w:val="2"/>
    <w:uiPriority w:val="99"/>
    <w:locked/>
    <w:rsid w:val="002C31F3"/>
    <w:rPr>
      <w:rFonts w:ascii="Cambria" w:hAnsi="Cambria" w:cs="Times New Roman"/>
      <w:b/>
      <w:bCs/>
      <w:i/>
      <w:iCs/>
      <w:sz w:val="28"/>
      <w:szCs w:val="28"/>
      <w:lang w:eastAsia="en-US"/>
    </w:rPr>
  </w:style>
  <w:style w:type="character" w:customStyle="1" w:styleId="3Char">
    <w:name w:val="Επικεφαλίδα 3 Char"/>
    <w:basedOn w:val="a1"/>
    <w:link w:val="3"/>
    <w:uiPriority w:val="99"/>
    <w:locked/>
    <w:rsid w:val="002C31F3"/>
    <w:rPr>
      <w:rFonts w:ascii="Cambria" w:hAnsi="Cambria" w:cs="Times New Roman"/>
      <w:b/>
      <w:bCs/>
      <w:sz w:val="26"/>
      <w:szCs w:val="26"/>
      <w:lang w:eastAsia="en-US"/>
    </w:rPr>
  </w:style>
  <w:style w:type="character" w:customStyle="1" w:styleId="6Char">
    <w:name w:val="Επικεφαλίδα 6 Char"/>
    <w:basedOn w:val="a1"/>
    <w:link w:val="6"/>
    <w:uiPriority w:val="99"/>
    <w:locked/>
    <w:rsid w:val="00D551F6"/>
    <w:rPr>
      <w:rFonts w:ascii="Cambria" w:hAnsi="Cambria" w:cs="Cambria"/>
      <w:i/>
      <w:iCs/>
      <w:color w:val="243F60"/>
      <w:lang w:eastAsia="en-US"/>
    </w:rPr>
  </w:style>
  <w:style w:type="character" w:customStyle="1" w:styleId="7Char">
    <w:name w:val="Επικεφαλίδα 7 Char"/>
    <w:basedOn w:val="a1"/>
    <w:link w:val="7"/>
    <w:uiPriority w:val="99"/>
    <w:locked/>
    <w:rsid w:val="00D551F6"/>
    <w:rPr>
      <w:rFonts w:eastAsia="Times New Roman" w:cs="Times New Roman"/>
      <w:sz w:val="24"/>
      <w:szCs w:val="24"/>
      <w:lang w:eastAsia="en-US"/>
    </w:rPr>
  </w:style>
  <w:style w:type="table" w:styleId="a4">
    <w:name w:val="Table Grid"/>
    <w:basedOn w:val="a2"/>
    <w:uiPriority w:val="99"/>
    <w:locked/>
    <w:rsid w:val="00CB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D551F6"/>
    <w:pPr>
      <w:spacing w:line="240" w:lineRule="auto"/>
    </w:pPr>
    <w:rPr>
      <w:rFonts w:ascii="Consolas" w:hAnsi="Consolas" w:cs="Consolas"/>
      <w:sz w:val="20"/>
      <w:szCs w:val="20"/>
    </w:rPr>
  </w:style>
  <w:style w:type="character" w:customStyle="1" w:styleId="-HTMLChar">
    <w:name w:val="Προ-διαμορφωμένο HTML Char"/>
    <w:basedOn w:val="a1"/>
    <w:link w:val="-HTML"/>
    <w:uiPriority w:val="99"/>
    <w:locked/>
    <w:rsid w:val="00D551F6"/>
    <w:rPr>
      <w:rFonts w:ascii="Consolas" w:hAnsi="Consolas" w:cs="Consolas"/>
      <w:sz w:val="20"/>
      <w:szCs w:val="20"/>
      <w:lang w:eastAsia="en-US"/>
    </w:rPr>
  </w:style>
  <w:style w:type="character" w:styleId="a5">
    <w:name w:val="annotation reference"/>
    <w:basedOn w:val="a1"/>
    <w:uiPriority w:val="99"/>
    <w:semiHidden/>
    <w:rsid w:val="00D551F6"/>
    <w:rPr>
      <w:rFonts w:cs="Times New Roman"/>
      <w:sz w:val="16"/>
      <w:szCs w:val="16"/>
    </w:rPr>
  </w:style>
  <w:style w:type="paragraph" w:styleId="a6">
    <w:name w:val="annotation text"/>
    <w:basedOn w:val="a"/>
    <w:link w:val="Char0"/>
    <w:uiPriority w:val="99"/>
    <w:semiHidden/>
    <w:rsid w:val="00D551F6"/>
    <w:pPr>
      <w:spacing w:line="240" w:lineRule="auto"/>
    </w:pPr>
    <w:rPr>
      <w:sz w:val="20"/>
      <w:szCs w:val="20"/>
      <w:lang w:eastAsia="el-GR"/>
    </w:rPr>
  </w:style>
  <w:style w:type="character" w:customStyle="1" w:styleId="Char0">
    <w:name w:val="Κείμενο σχολίου Char"/>
    <w:basedOn w:val="a1"/>
    <w:link w:val="a6"/>
    <w:uiPriority w:val="99"/>
    <w:semiHidden/>
    <w:locked/>
    <w:rsid w:val="00D551F6"/>
    <w:rPr>
      <w:rFonts w:ascii="Arial" w:hAnsi="Arial" w:cs="Calibri"/>
      <w:sz w:val="20"/>
      <w:szCs w:val="20"/>
    </w:rPr>
  </w:style>
  <w:style w:type="paragraph" w:styleId="a7">
    <w:name w:val="header"/>
    <w:basedOn w:val="a"/>
    <w:link w:val="Char1"/>
    <w:uiPriority w:val="99"/>
    <w:semiHidden/>
    <w:rsid w:val="00D551F6"/>
    <w:pPr>
      <w:tabs>
        <w:tab w:val="center" w:pos="4153"/>
        <w:tab w:val="right" w:pos="8306"/>
      </w:tabs>
    </w:pPr>
  </w:style>
  <w:style w:type="character" w:customStyle="1" w:styleId="Char1">
    <w:name w:val="Κεφαλίδα Char"/>
    <w:basedOn w:val="a1"/>
    <w:link w:val="a7"/>
    <w:uiPriority w:val="99"/>
    <w:semiHidden/>
    <w:locked/>
    <w:rsid w:val="00D551F6"/>
    <w:rPr>
      <w:rFonts w:ascii="Arial" w:hAnsi="Arial" w:cs="Calibri"/>
      <w:lang w:eastAsia="en-US"/>
    </w:rPr>
  </w:style>
  <w:style w:type="paragraph" w:styleId="a8">
    <w:name w:val="footer"/>
    <w:basedOn w:val="a"/>
    <w:link w:val="Char2"/>
    <w:uiPriority w:val="99"/>
    <w:rsid w:val="00D551F6"/>
    <w:pPr>
      <w:tabs>
        <w:tab w:val="center" w:pos="4153"/>
        <w:tab w:val="right" w:pos="8306"/>
      </w:tabs>
    </w:pPr>
  </w:style>
  <w:style w:type="character" w:customStyle="1" w:styleId="Char2">
    <w:name w:val="Υποσέλιδο Char"/>
    <w:basedOn w:val="a1"/>
    <w:link w:val="a8"/>
    <w:uiPriority w:val="99"/>
    <w:locked/>
    <w:rsid w:val="00D551F6"/>
    <w:rPr>
      <w:rFonts w:ascii="Arial" w:hAnsi="Arial" w:cs="Calibri"/>
      <w:lang w:eastAsia="en-US"/>
    </w:rPr>
  </w:style>
  <w:style w:type="paragraph" w:styleId="a9">
    <w:name w:val="Balloon Text"/>
    <w:basedOn w:val="a"/>
    <w:link w:val="Char3"/>
    <w:uiPriority w:val="99"/>
    <w:semiHidden/>
    <w:rsid w:val="00D551F6"/>
    <w:pPr>
      <w:spacing w:line="240" w:lineRule="auto"/>
    </w:pPr>
    <w:rPr>
      <w:rFonts w:ascii="Tahoma" w:hAnsi="Tahoma" w:cs="Tahoma"/>
      <w:sz w:val="16"/>
      <w:szCs w:val="16"/>
    </w:rPr>
  </w:style>
  <w:style w:type="character" w:customStyle="1" w:styleId="Char3">
    <w:name w:val="Κείμενο πλαισίου Char"/>
    <w:basedOn w:val="a1"/>
    <w:link w:val="a9"/>
    <w:uiPriority w:val="99"/>
    <w:semiHidden/>
    <w:locked/>
    <w:rsid w:val="00D551F6"/>
    <w:rPr>
      <w:rFonts w:ascii="Tahoma" w:hAnsi="Tahoma" w:cs="Tahoma"/>
      <w:sz w:val="16"/>
      <w:szCs w:val="16"/>
      <w:lang w:eastAsia="en-US"/>
    </w:rPr>
  </w:style>
  <w:style w:type="character" w:styleId="aa">
    <w:name w:val="Strong"/>
    <w:basedOn w:val="a1"/>
    <w:uiPriority w:val="99"/>
    <w:qFormat/>
    <w:rsid w:val="00D551F6"/>
    <w:rPr>
      <w:rFonts w:cs="Times New Roman"/>
      <w:b/>
      <w:bCs/>
    </w:rPr>
  </w:style>
  <w:style w:type="character" w:styleId="ab">
    <w:name w:val="Intense Emphasis"/>
    <w:basedOn w:val="a1"/>
    <w:uiPriority w:val="99"/>
    <w:qFormat/>
    <w:rsid w:val="00D551F6"/>
    <w:rPr>
      <w:rFonts w:cs="Times New Roman"/>
      <w:b/>
      <w:bCs/>
      <w:i/>
      <w:iCs/>
      <w:color w:val="4F81BD"/>
    </w:rPr>
  </w:style>
  <w:style w:type="paragraph" w:styleId="ac">
    <w:name w:val="Subtitle"/>
    <w:basedOn w:val="a"/>
    <w:next w:val="a"/>
    <w:link w:val="Char4"/>
    <w:uiPriority w:val="99"/>
    <w:qFormat/>
    <w:rsid w:val="00D551F6"/>
    <w:pPr>
      <w:numPr>
        <w:ilvl w:val="1"/>
      </w:numPr>
    </w:pPr>
    <w:rPr>
      <w:rFonts w:ascii="Cambria" w:eastAsia="Times New Roman" w:hAnsi="Cambria" w:cs="Cambria"/>
      <w:i/>
      <w:iCs/>
      <w:color w:val="4F81BD"/>
      <w:spacing w:val="15"/>
      <w:sz w:val="24"/>
      <w:szCs w:val="24"/>
    </w:rPr>
  </w:style>
  <w:style w:type="character" w:customStyle="1" w:styleId="Char4">
    <w:name w:val="Υπότιτλος Char"/>
    <w:basedOn w:val="a1"/>
    <w:link w:val="ac"/>
    <w:uiPriority w:val="99"/>
    <w:locked/>
    <w:rsid w:val="00D551F6"/>
    <w:rPr>
      <w:rFonts w:ascii="Cambria" w:hAnsi="Cambria" w:cs="Cambria"/>
      <w:i/>
      <w:iCs/>
      <w:color w:val="4F81BD"/>
      <w:spacing w:val="15"/>
      <w:sz w:val="24"/>
      <w:szCs w:val="24"/>
      <w:lang w:eastAsia="en-US"/>
    </w:rPr>
  </w:style>
  <w:style w:type="paragraph" w:styleId="ad">
    <w:name w:val="Revision"/>
    <w:hidden/>
    <w:uiPriority w:val="99"/>
    <w:semiHidden/>
    <w:rsid w:val="00210D90"/>
    <w:rPr>
      <w:rFonts w:cs="Calibri"/>
      <w:sz w:val="22"/>
      <w:szCs w:val="22"/>
      <w:lang w:eastAsia="en-US"/>
    </w:rPr>
  </w:style>
  <w:style w:type="paragraph" w:styleId="ae">
    <w:name w:val="annotation subject"/>
    <w:basedOn w:val="a6"/>
    <w:next w:val="a6"/>
    <w:link w:val="Char5"/>
    <w:uiPriority w:val="99"/>
    <w:semiHidden/>
    <w:rsid w:val="00D551F6"/>
    <w:rPr>
      <w:b/>
      <w:bCs/>
      <w:lang w:eastAsia="en-US"/>
    </w:rPr>
  </w:style>
  <w:style w:type="character" w:customStyle="1" w:styleId="Char5">
    <w:name w:val="Θέμα σχολίου Char"/>
    <w:basedOn w:val="Char0"/>
    <w:link w:val="ae"/>
    <w:uiPriority w:val="99"/>
    <w:semiHidden/>
    <w:locked/>
    <w:rsid w:val="00D551F6"/>
    <w:rPr>
      <w:rFonts w:ascii="Arial" w:hAnsi="Arial" w:cs="Calibri"/>
      <w:b/>
      <w:bCs/>
      <w:sz w:val="20"/>
      <w:szCs w:val="20"/>
      <w:lang w:eastAsia="en-US"/>
    </w:rPr>
  </w:style>
  <w:style w:type="paragraph" w:customStyle="1" w:styleId="af">
    <w:name w:val="Τροποποιούμενη διάταξη"/>
    <w:basedOn w:val="a"/>
    <w:uiPriority w:val="99"/>
    <w:rsid w:val="006C01DA"/>
    <w:pPr>
      <w:spacing w:before="120"/>
      <w:ind w:left="425"/>
      <w:contextualSpacing/>
    </w:pPr>
    <w:rPr>
      <w:i/>
      <w:iCs/>
    </w:rPr>
  </w:style>
  <w:style w:type="paragraph" w:styleId="af0">
    <w:name w:val="List Paragraph"/>
    <w:basedOn w:val="a"/>
    <w:uiPriority w:val="99"/>
    <w:qFormat/>
    <w:rsid w:val="00D551F6"/>
    <w:pPr>
      <w:spacing w:before="0" w:after="200"/>
      <w:ind w:left="720"/>
      <w:jc w:val="left"/>
    </w:pPr>
  </w:style>
  <w:style w:type="character" w:customStyle="1" w:styleId="10">
    <w:name w:val="Έντονη έμφαση1"/>
    <w:basedOn w:val="a1"/>
    <w:uiPriority w:val="99"/>
    <w:rsid w:val="00D551F6"/>
    <w:rPr>
      <w:rFonts w:cs="Times New Roman"/>
      <w:b/>
      <w:bCs/>
      <w:i/>
      <w:iCs/>
      <w:color w:val="4F81BD"/>
    </w:rPr>
  </w:style>
  <w:style w:type="paragraph" w:customStyle="1" w:styleId="AOGenNum3">
    <w:name w:val="AOGenNum3"/>
    <w:basedOn w:val="a"/>
    <w:next w:val="AOGenNum3List"/>
    <w:rsid w:val="00464D3B"/>
    <w:pPr>
      <w:numPr>
        <w:numId w:val="15"/>
      </w:numPr>
      <w:spacing w:line="260" w:lineRule="atLeast"/>
    </w:pPr>
    <w:rPr>
      <w:rFonts w:ascii="Times New Roman" w:eastAsia="SimSun" w:hAnsi="Times New Roman" w:cs="Times New Roman"/>
      <w:lang w:val="en-GB"/>
    </w:rPr>
  </w:style>
  <w:style w:type="paragraph" w:customStyle="1" w:styleId="AOGenNum3List">
    <w:name w:val="AOGenNum3List"/>
    <w:basedOn w:val="AOGenNum3"/>
    <w:rsid w:val="00464D3B"/>
    <w:pPr>
      <w:numPr>
        <w:ilvl w:val="1"/>
      </w:numPr>
    </w:pPr>
  </w:style>
  <w:style w:type="character" w:customStyle="1" w:styleId="z-Char">
    <w:name w:val="z-Αρχή φόρμας Char"/>
    <w:basedOn w:val="a1"/>
    <w:link w:val="z-"/>
    <w:uiPriority w:val="99"/>
    <w:semiHidden/>
    <w:rsid w:val="00FF2AB3"/>
    <w:rPr>
      <w:rFonts w:ascii="Arial" w:eastAsia="Times New Roman" w:hAnsi="Arial" w:cs="Arial"/>
      <w:vanish/>
      <w:sz w:val="16"/>
      <w:szCs w:val="16"/>
    </w:rPr>
  </w:style>
  <w:style w:type="paragraph" w:styleId="z-">
    <w:name w:val="HTML Top of Form"/>
    <w:basedOn w:val="a"/>
    <w:next w:val="a"/>
    <w:link w:val="z-Char"/>
    <w:hidden/>
    <w:uiPriority w:val="99"/>
    <w:semiHidden/>
    <w:rsid w:val="00FF2AB3"/>
    <w:pPr>
      <w:pBdr>
        <w:bottom w:val="single" w:sz="6" w:space="1" w:color="auto"/>
      </w:pBdr>
      <w:spacing w:before="0" w:line="240" w:lineRule="auto"/>
      <w:jc w:val="center"/>
    </w:pPr>
    <w:rPr>
      <w:rFonts w:eastAsia="Times New Roman" w:cs="Arial"/>
      <w:vanish/>
      <w:sz w:val="16"/>
      <w:szCs w:val="16"/>
      <w:lang w:eastAsia="el-GR"/>
    </w:rPr>
  </w:style>
  <w:style w:type="character" w:customStyle="1" w:styleId="st-stp1-text1">
    <w:name w:val="st-stp1-text1"/>
    <w:basedOn w:val="a1"/>
    <w:uiPriority w:val="99"/>
    <w:rsid w:val="00FF2AB3"/>
    <w:rPr>
      <w:rFonts w:cs="Times New Roman"/>
      <w:color w:val="222222"/>
    </w:rPr>
  </w:style>
  <w:style w:type="character" w:customStyle="1" w:styleId="jfk-butterbar1">
    <w:name w:val="jfk-butterbar1"/>
    <w:basedOn w:val="a1"/>
    <w:uiPriority w:val="99"/>
    <w:rsid w:val="00FF2AB3"/>
    <w:rPr>
      <w:rFonts w:cs="Times New Roman"/>
      <w:sz w:val="15"/>
      <w:szCs w:val="15"/>
      <w:bdr w:val="single" w:sz="2" w:space="0" w:color="auto" w:frame="1"/>
    </w:rPr>
  </w:style>
  <w:style w:type="character" w:customStyle="1" w:styleId="gt-ft-text1">
    <w:name w:val="gt-ft-text1"/>
    <w:basedOn w:val="a1"/>
    <w:uiPriority w:val="99"/>
    <w:rsid w:val="00FF2AB3"/>
    <w:rPr>
      <w:rFonts w:cs="Times New Roman"/>
    </w:rPr>
  </w:style>
  <w:style w:type="character" w:customStyle="1" w:styleId="z-Char0">
    <w:name w:val="z-Τέλος φόρμας Char"/>
    <w:basedOn w:val="a1"/>
    <w:link w:val="z-0"/>
    <w:uiPriority w:val="99"/>
    <w:semiHidden/>
    <w:rsid w:val="00FF2AB3"/>
    <w:rPr>
      <w:rFonts w:ascii="Arial" w:eastAsia="Times New Roman" w:hAnsi="Arial" w:cs="Arial"/>
      <w:vanish/>
      <w:sz w:val="16"/>
      <w:szCs w:val="16"/>
    </w:rPr>
  </w:style>
  <w:style w:type="paragraph" w:styleId="z-0">
    <w:name w:val="HTML Bottom of Form"/>
    <w:basedOn w:val="a"/>
    <w:next w:val="a"/>
    <w:link w:val="z-Char0"/>
    <w:hidden/>
    <w:uiPriority w:val="99"/>
    <w:semiHidden/>
    <w:rsid w:val="00FF2AB3"/>
    <w:pPr>
      <w:pBdr>
        <w:top w:val="single" w:sz="6" w:space="1" w:color="auto"/>
      </w:pBdr>
      <w:spacing w:before="0" w:line="240" w:lineRule="auto"/>
      <w:jc w:val="center"/>
    </w:pPr>
    <w:rPr>
      <w:rFonts w:eastAsia="Times New Roman" w:cs="Arial"/>
      <w:vanish/>
      <w:sz w:val="16"/>
      <w:szCs w:val="16"/>
      <w:lang w:eastAsia="el-GR"/>
    </w:rPr>
  </w:style>
  <w:style w:type="character" w:customStyle="1" w:styleId="ita-kd-menuitem-inputtool-name1">
    <w:name w:val="ita-kd-menuitem-inputtool-name1"/>
    <w:basedOn w:val="a1"/>
    <w:uiPriority w:val="99"/>
    <w:rsid w:val="00FF2AB3"/>
    <w:rPr>
      <w:rFonts w:cs="Times New Roman"/>
    </w:rPr>
  </w:style>
  <w:style w:type="character" w:customStyle="1" w:styleId="ita-kd-menuitem-setting1">
    <w:name w:val="ita-kd-menuitem-setting1"/>
    <w:basedOn w:val="a1"/>
    <w:uiPriority w:val="99"/>
    <w:rsid w:val="00FF2AB3"/>
    <w:rPr>
      <w:rFonts w:cs="Times New Roman"/>
    </w:rPr>
  </w:style>
  <w:style w:type="character" w:customStyle="1" w:styleId="st1">
    <w:name w:val="st1"/>
    <w:basedOn w:val="a1"/>
    <w:rsid w:val="00FF2AB3"/>
  </w:style>
  <w:style w:type="paragraph" w:styleId="af1">
    <w:name w:val="No Spacing"/>
    <w:uiPriority w:val="1"/>
    <w:qFormat/>
    <w:rsid w:val="00FF2AB3"/>
    <w:pPr>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45814">
      <w:marLeft w:val="0"/>
      <w:marRight w:val="0"/>
      <w:marTop w:val="0"/>
      <w:marBottom w:val="0"/>
      <w:divBdr>
        <w:top w:val="none" w:sz="0" w:space="0" w:color="auto"/>
        <w:left w:val="none" w:sz="0" w:space="0" w:color="auto"/>
        <w:bottom w:val="none" w:sz="0" w:space="0" w:color="auto"/>
        <w:right w:val="none" w:sz="0" w:space="0" w:color="auto"/>
      </w:divBdr>
    </w:div>
    <w:div w:id="1809545815">
      <w:marLeft w:val="0"/>
      <w:marRight w:val="0"/>
      <w:marTop w:val="0"/>
      <w:marBottom w:val="0"/>
      <w:divBdr>
        <w:top w:val="none" w:sz="0" w:space="0" w:color="auto"/>
        <w:left w:val="none" w:sz="0" w:space="0" w:color="auto"/>
        <w:bottom w:val="none" w:sz="0" w:space="0" w:color="auto"/>
        <w:right w:val="none" w:sz="0" w:space="0" w:color="auto"/>
      </w:divBdr>
    </w:div>
    <w:div w:id="1809545816">
      <w:marLeft w:val="0"/>
      <w:marRight w:val="0"/>
      <w:marTop w:val="0"/>
      <w:marBottom w:val="0"/>
      <w:divBdr>
        <w:top w:val="none" w:sz="0" w:space="0" w:color="auto"/>
        <w:left w:val="none" w:sz="0" w:space="0" w:color="auto"/>
        <w:bottom w:val="none" w:sz="0" w:space="0" w:color="auto"/>
        <w:right w:val="none" w:sz="0" w:space="0" w:color="auto"/>
      </w:divBdr>
    </w:div>
    <w:div w:id="1809545817">
      <w:marLeft w:val="0"/>
      <w:marRight w:val="0"/>
      <w:marTop w:val="0"/>
      <w:marBottom w:val="0"/>
      <w:divBdr>
        <w:top w:val="none" w:sz="0" w:space="0" w:color="auto"/>
        <w:left w:val="none" w:sz="0" w:space="0" w:color="auto"/>
        <w:bottom w:val="none" w:sz="0" w:space="0" w:color="auto"/>
        <w:right w:val="none" w:sz="0" w:space="0" w:color="auto"/>
      </w:divBdr>
    </w:div>
    <w:div w:id="1809545818">
      <w:marLeft w:val="0"/>
      <w:marRight w:val="0"/>
      <w:marTop w:val="0"/>
      <w:marBottom w:val="0"/>
      <w:divBdr>
        <w:top w:val="none" w:sz="0" w:space="0" w:color="auto"/>
        <w:left w:val="none" w:sz="0" w:space="0" w:color="auto"/>
        <w:bottom w:val="none" w:sz="0" w:space="0" w:color="auto"/>
        <w:right w:val="none" w:sz="0" w:space="0" w:color="auto"/>
      </w:divBdr>
    </w:div>
    <w:div w:id="1809545819">
      <w:marLeft w:val="0"/>
      <w:marRight w:val="0"/>
      <w:marTop w:val="0"/>
      <w:marBottom w:val="0"/>
      <w:divBdr>
        <w:top w:val="none" w:sz="0" w:space="0" w:color="auto"/>
        <w:left w:val="none" w:sz="0" w:space="0" w:color="auto"/>
        <w:bottom w:val="none" w:sz="0" w:space="0" w:color="auto"/>
        <w:right w:val="none" w:sz="0" w:space="0" w:color="auto"/>
      </w:divBdr>
    </w:div>
    <w:div w:id="1809545822">
      <w:marLeft w:val="0"/>
      <w:marRight w:val="0"/>
      <w:marTop w:val="0"/>
      <w:marBottom w:val="0"/>
      <w:divBdr>
        <w:top w:val="none" w:sz="0" w:space="0" w:color="auto"/>
        <w:left w:val="none" w:sz="0" w:space="0" w:color="auto"/>
        <w:bottom w:val="none" w:sz="0" w:space="0" w:color="auto"/>
        <w:right w:val="none" w:sz="0" w:space="0" w:color="auto"/>
      </w:divBdr>
      <w:divsChild>
        <w:div w:id="1809545823">
          <w:marLeft w:val="0"/>
          <w:marRight w:val="0"/>
          <w:marTop w:val="0"/>
          <w:marBottom w:val="0"/>
          <w:divBdr>
            <w:top w:val="none" w:sz="0" w:space="0" w:color="auto"/>
            <w:left w:val="none" w:sz="0" w:space="0" w:color="auto"/>
            <w:bottom w:val="none" w:sz="0" w:space="0" w:color="auto"/>
            <w:right w:val="none" w:sz="0" w:space="0" w:color="auto"/>
          </w:divBdr>
          <w:divsChild>
            <w:div w:id="1809545821">
              <w:marLeft w:val="0"/>
              <w:marRight w:val="0"/>
              <w:marTop w:val="0"/>
              <w:marBottom w:val="0"/>
              <w:divBdr>
                <w:top w:val="none" w:sz="0" w:space="0" w:color="auto"/>
                <w:left w:val="none" w:sz="0" w:space="0" w:color="auto"/>
                <w:bottom w:val="none" w:sz="0" w:space="0" w:color="auto"/>
                <w:right w:val="none" w:sz="0" w:space="0" w:color="auto"/>
              </w:divBdr>
              <w:divsChild>
                <w:div w:id="18095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5824">
      <w:marLeft w:val="0"/>
      <w:marRight w:val="0"/>
      <w:marTop w:val="0"/>
      <w:marBottom w:val="0"/>
      <w:divBdr>
        <w:top w:val="none" w:sz="0" w:space="0" w:color="auto"/>
        <w:left w:val="none" w:sz="0" w:space="0" w:color="auto"/>
        <w:bottom w:val="none" w:sz="0" w:space="0" w:color="auto"/>
        <w:right w:val="none" w:sz="0" w:space="0" w:color="auto"/>
      </w:divBdr>
    </w:div>
    <w:div w:id="1809545825">
      <w:marLeft w:val="0"/>
      <w:marRight w:val="0"/>
      <w:marTop w:val="0"/>
      <w:marBottom w:val="0"/>
      <w:divBdr>
        <w:top w:val="none" w:sz="0" w:space="0" w:color="auto"/>
        <w:left w:val="none" w:sz="0" w:space="0" w:color="auto"/>
        <w:bottom w:val="none" w:sz="0" w:space="0" w:color="auto"/>
        <w:right w:val="none" w:sz="0" w:space="0" w:color="auto"/>
      </w:divBdr>
    </w:div>
    <w:div w:id="1809545826">
      <w:marLeft w:val="0"/>
      <w:marRight w:val="0"/>
      <w:marTop w:val="0"/>
      <w:marBottom w:val="0"/>
      <w:divBdr>
        <w:top w:val="none" w:sz="0" w:space="0" w:color="auto"/>
        <w:left w:val="none" w:sz="0" w:space="0" w:color="auto"/>
        <w:bottom w:val="none" w:sz="0" w:space="0" w:color="auto"/>
        <w:right w:val="none" w:sz="0" w:space="0" w:color="auto"/>
      </w:divBdr>
    </w:div>
    <w:div w:id="1809545827">
      <w:marLeft w:val="0"/>
      <w:marRight w:val="0"/>
      <w:marTop w:val="0"/>
      <w:marBottom w:val="0"/>
      <w:divBdr>
        <w:top w:val="none" w:sz="0" w:space="0" w:color="auto"/>
        <w:left w:val="none" w:sz="0" w:space="0" w:color="auto"/>
        <w:bottom w:val="none" w:sz="0" w:space="0" w:color="auto"/>
        <w:right w:val="none" w:sz="0" w:space="0" w:color="auto"/>
      </w:divBdr>
    </w:div>
    <w:div w:id="180954582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7777</Words>
  <Characters>42825</Characters>
  <Application>Microsoft Office Word</Application>
  <DocSecurity>0</DocSecurity>
  <Lines>356</Lines>
  <Paragraphs>101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 ΝΟΜΟΥ</vt:lpstr>
      <vt:lpstr>ΣΧΕΔΙΟ ΝΟΜΟΥ</vt:lpstr>
    </vt:vector>
  </TitlesOfParts>
  <Company>Hewlett-Packard Company</Company>
  <LinksUpToDate>false</LinksUpToDate>
  <CharactersWithSpaces>50501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ΝΟΜΟΥ</dc:title>
  <dc:creator>DDP</dc:creator>
  <cp:lastModifiedBy>*</cp:lastModifiedBy>
  <cp:revision>6</cp:revision>
  <cp:lastPrinted>2014-03-07T12:25:00Z</cp:lastPrinted>
  <dcterms:created xsi:type="dcterms:W3CDTF">2014-03-07T11:54:00Z</dcterms:created>
  <dcterms:modified xsi:type="dcterms:W3CDTF">2014-03-07T12:42:00Z</dcterms:modified>
</cp:coreProperties>
</file>